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98" w:rsidRPr="00AF7C98" w:rsidRDefault="00D034CF" w:rsidP="00AF7C98">
      <w:pPr>
        <w:spacing w:after="0" w:line="360" w:lineRule="auto"/>
        <w:jc w:val="both"/>
        <w:rPr>
          <w:rFonts w:ascii="Verdana" w:eastAsia="Times New Roman" w:hAnsi="Verdana" w:cs="Times New Roman"/>
          <w:b/>
          <w:bCs/>
          <w:kern w:val="36"/>
          <w:sz w:val="20"/>
          <w:szCs w:val="20"/>
          <w:lang w:eastAsia="es-ES"/>
        </w:rPr>
      </w:pPr>
      <w:r>
        <w:rPr>
          <w:rFonts w:ascii="Verdana" w:eastAsia="Times New Roman" w:hAnsi="Verdana" w:cs="Times New Roman"/>
          <w:b/>
          <w:bCs/>
          <w:kern w:val="36"/>
          <w:sz w:val="20"/>
          <w:szCs w:val="20"/>
          <w:lang w:eastAsia="es-ES"/>
        </w:rPr>
        <w:t>I</w:t>
      </w:r>
      <w:bookmarkStart w:id="0" w:name="_GoBack"/>
      <w:bookmarkEnd w:id="0"/>
      <w:r w:rsidR="00AF7C98" w:rsidRPr="00AF7C98">
        <w:rPr>
          <w:rFonts w:ascii="Verdana" w:eastAsia="Times New Roman" w:hAnsi="Verdana" w:cs="Times New Roman"/>
          <w:b/>
          <w:bCs/>
          <w:kern w:val="36"/>
          <w:sz w:val="20"/>
          <w:szCs w:val="20"/>
          <w:lang w:eastAsia="es-ES"/>
        </w:rPr>
        <w:t>mpacto de la investigación en salud de Cuba publicada en revistas nacionales: ¿existen razones para una intervención urgente?</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Cs/>
          <w:i/>
          <w:kern w:val="36"/>
          <w:sz w:val="20"/>
          <w:szCs w:val="20"/>
          <w:lang w:eastAsia="es-ES"/>
        </w:rPr>
      </w:pPr>
      <w:r w:rsidRPr="00AF7C98">
        <w:rPr>
          <w:rFonts w:ascii="Verdana" w:eastAsia="Times New Roman" w:hAnsi="Verdana" w:cs="Times New Roman"/>
          <w:bCs/>
          <w:kern w:val="36"/>
          <w:sz w:val="20"/>
          <w:szCs w:val="20"/>
          <w:lang w:eastAsia="es-ES"/>
        </w:rPr>
        <w:t xml:space="preserve">Por </w:t>
      </w:r>
      <w:r w:rsidRPr="00AF7C98">
        <w:rPr>
          <w:rFonts w:ascii="Verdana" w:eastAsia="Times New Roman" w:hAnsi="Verdana" w:cs="Times New Roman"/>
          <w:bCs/>
          <w:i/>
          <w:kern w:val="36"/>
          <w:sz w:val="20"/>
          <w:szCs w:val="20"/>
          <w:lang w:eastAsia="es-ES"/>
        </w:rPr>
        <w:t>Rubén Cañedo Andalia, Jaime Cruz Font</w:t>
      </w:r>
      <w:r w:rsidRPr="00AF7C98">
        <w:rPr>
          <w:rFonts w:ascii="Verdana" w:eastAsia="Times New Roman" w:hAnsi="Verdana" w:cs="Times New Roman"/>
          <w:bCs/>
          <w:kern w:val="36"/>
          <w:sz w:val="20"/>
          <w:szCs w:val="20"/>
          <w:lang w:eastAsia="es-ES"/>
        </w:rPr>
        <w:t xml:space="preserve"> y </w:t>
      </w:r>
      <w:r w:rsidRPr="00AF7C98">
        <w:rPr>
          <w:rFonts w:ascii="Verdana" w:eastAsia="Times New Roman" w:hAnsi="Verdana" w:cs="Times New Roman"/>
          <w:bCs/>
          <w:i/>
          <w:kern w:val="36"/>
          <w:sz w:val="20"/>
          <w:szCs w:val="20"/>
          <w:lang w:eastAsia="es-ES"/>
        </w:rPr>
        <w:t>Mario Nodarse Rodríguez</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r w:rsidRPr="00AF7C98">
        <w:rPr>
          <w:rFonts w:ascii="Verdana" w:eastAsia="Times New Roman" w:hAnsi="Verdana" w:cs="Times New Roman"/>
          <w:b/>
          <w:bCs/>
          <w:kern w:val="36"/>
          <w:sz w:val="20"/>
          <w:szCs w:val="20"/>
          <w:lang w:eastAsia="es-ES"/>
        </w:rPr>
        <w:t xml:space="preserve"> </w:t>
      </w:r>
    </w:p>
    <w:p w:rsidR="00160C50" w:rsidRDefault="00160C50" w:rsidP="00AF7C98">
      <w:pPr>
        <w:spacing w:after="0" w:line="360" w:lineRule="auto"/>
        <w:jc w:val="both"/>
        <w:rPr>
          <w:rFonts w:ascii="Verdana" w:eastAsia="Times New Roman" w:hAnsi="Verdana" w:cs="Times New Roman"/>
          <w:b/>
          <w:bCs/>
          <w:kern w:val="36"/>
          <w:sz w:val="20"/>
          <w:szCs w:val="20"/>
          <w:lang w:eastAsia="es-ES"/>
        </w:rPr>
        <w:sectPr w:rsidR="00160C50" w:rsidSect="00B87517">
          <w:headerReference w:type="default" r:id="rId9"/>
          <w:footerReference w:type="default" r:id="rId10"/>
          <w:headerReference w:type="first" r:id="rId11"/>
          <w:footerReference w:type="first" r:id="rId12"/>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r w:rsidRPr="00AF7C98">
        <w:rPr>
          <w:rFonts w:ascii="Verdana" w:eastAsia="Times New Roman" w:hAnsi="Verdana" w:cs="Times New Roman"/>
          <w:b/>
          <w:bCs/>
          <w:kern w:val="36"/>
          <w:sz w:val="20"/>
          <w:szCs w:val="20"/>
          <w:lang w:eastAsia="es-ES"/>
        </w:rPr>
        <w:lastRenderedPageBreak/>
        <w:t>INTRODUCCIÓN</w:t>
      </w:r>
    </w:p>
    <w:p w:rsidR="00AF7C98" w:rsidRPr="00AF7C98" w:rsidRDefault="00AF7C98" w:rsidP="00AF7C98">
      <w:pPr>
        <w:spacing w:after="0" w:line="360" w:lineRule="auto"/>
        <w:jc w:val="both"/>
        <w:rPr>
          <w:rFonts w:ascii="Verdana" w:eastAsia="Times New Roman" w:hAnsi="Verdana" w:cs="Times New Roman"/>
          <w:bCs/>
          <w:i/>
          <w:iCs/>
          <w:kern w:val="36"/>
          <w:sz w:val="20"/>
          <w:szCs w:val="20"/>
          <w:lang w:eastAsia="es-ES"/>
        </w:rPr>
      </w:pPr>
      <w:r w:rsidRPr="00AF7C98">
        <w:rPr>
          <w:rFonts w:ascii="Verdana" w:eastAsia="Times New Roman" w:hAnsi="Verdana" w:cs="Times New Roman"/>
          <w:sz w:val="20"/>
          <w:szCs w:val="20"/>
          <w:lang w:eastAsia="es-ES"/>
        </w:rPr>
        <w:t>Desde 2013, el Observatorio de Ciencias de la Salud, del Centro Virtual para el Aprendizaje y la Investigación en Salud, investiga sistemáticamente el impacto internacional de la investigación en salud de Cuba.</w:t>
      </w:r>
      <w:r w:rsidRPr="00AF7C98">
        <w:rPr>
          <w:rFonts w:ascii="Verdana" w:eastAsia="Times New Roman" w:hAnsi="Verdana" w:cs="Times New Roman"/>
          <w:sz w:val="20"/>
          <w:szCs w:val="20"/>
          <w:vertAlign w:val="superscript"/>
          <w:lang w:eastAsia="es-ES"/>
        </w:rPr>
        <w:t>1-4</w:t>
      </w:r>
      <w:r w:rsidRPr="00AF7C98">
        <w:rPr>
          <w:rFonts w:ascii="Verdana" w:eastAsia="Times New Roman" w:hAnsi="Verdana" w:cs="Times New Roman"/>
          <w:sz w:val="20"/>
          <w:szCs w:val="20"/>
          <w:lang w:eastAsia="es-ES"/>
        </w:rPr>
        <w:t xml:space="preserve"> En los estudios realizados, se observa una falta de correspondencia entre la visibilidad alcanzada por una parte importante de la publicación científica en salud de Cuba y sus índices de citación, a partir de los datos que ofrece </w:t>
      </w:r>
      <w:r w:rsidRPr="00AF7C98">
        <w:rPr>
          <w:rFonts w:ascii="Verdana" w:eastAsia="Times New Roman" w:hAnsi="Verdana" w:cs="Times New Roman"/>
          <w:i/>
          <w:sz w:val="20"/>
          <w:szCs w:val="20"/>
          <w:lang w:eastAsia="es-ES"/>
        </w:rPr>
        <w:t>Scopus</w:t>
      </w:r>
      <w:r w:rsidRPr="00AF7C98">
        <w:rPr>
          <w:rFonts w:ascii="Verdana" w:eastAsia="Times New Roman" w:hAnsi="Verdana" w:cs="Times New Roman"/>
          <w:sz w:val="20"/>
          <w:szCs w:val="20"/>
          <w:lang w:eastAsia="es-ES"/>
        </w:rPr>
        <w:t xml:space="preserve">, la base de datos multidisciplinaria con la mayor representación de la literatura científica de América Latina a escala mundial, y las plataformas de estudios cienciométricos </w:t>
      </w:r>
      <w:r w:rsidRPr="00AF7C98">
        <w:rPr>
          <w:rFonts w:ascii="Verdana" w:eastAsia="Times New Roman" w:hAnsi="Verdana" w:cs="Times New Roman"/>
          <w:bCs/>
          <w:i/>
          <w:iCs/>
          <w:kern w:val="36"/>
          <w:sz w:val="20"/>
          <w:szCs w:val="20"/>
          <w:lang w:eastAsia="es-ES"/>
        </w:rPr>
        <w:t>SCImago Journal &amp; Country Rank,</w:t>
      </w:r>
      <w:r w:rsidRPr="00AF7C98">
        <w:rPr>
          <w:rFonts w:ascii="Verdana" w:eastAsia="Times New Roman" w:hAnsi="Verdana" w:cs="Times New Roman"/>
          <w:bCs/>
          <w:iCs/>
          <w:kern w:val="36"/>
          <w:sz w:val="20"/>
          <w:szCs w:val="20"/>
          <w:lang w:eastAsia="es-ES"/>
        </w:rPr>
        <w:t xml:space="preserve"> de Scimago Lab, de España, y </w:t>
      </w:r>
      <w:r w:rsidRPr="00AF7C98">
        <w:rPr>
          <w:rFonts w:ascii="Verdana" w:eastAsia="Times New Roman" w:hAnsi="Verdana" w:cs="Times New Roman"/>
          <w:bCs/>
          <w:i/>
          <w:iCs/>
          <w:kern w:val="36"/>
          <w:sz w:val="20"/>
          <w:szCs w:val="20"/>
          <w:lang w:eastAsia="es-ES"/>
        </w:rPr>
        <w:t>Scival</w:t>
      </w:r>
      <w:r w:rsidRPr="00AF7C98">
        <w:rPr>
          <w:rFonts w:ascii="Verdana" w:eastAsia="Times New Roman" w:hAnsi="Verdana" w:cs="Times New Roman"/>
          <w:bCs/>
          <w:iCs/>
          <w:kern w:val="36"/>
          <w:sz w:val="20"/>
          <w:szCs w:val="20"/>
          <w:lang w:eastAsia="es-ES"/>
        </w:rPr>
        <w:t>, de Elsevier.</w:t>
      </w:r>
      <w:r w:rsidRPr="00AF7C98">
        <w:rPr>
          <w:rFonts w:ascii="Verdana" w:eastAsia="Times New Roman" w:hAnsi="Verdana" w:cs="Times New Roman"/>
          <w:bCs/>
          <w:i/>
          <w:iCs/>
          <w:kern w:val="36"/>
          <w:sz w:val="20"/>
          <w:szCs w:val="20"/>
          <w:lang w:eastAsia="es-ES"/>
        </w:rPr>
        <w:t xml:space="preserve"> </w:t>
      </w:r>
    </w:p>
    <w:p w:rsidR="00AF7C98" w:rsidRPr="00AF7C98" w:rsidRDefault="00AF7C98" w:rsidP="00AF7C98">
      <w:pPr>
        <w:spacing w:after="0" w:line="360" w:lineRule="auto"/>
        <w:jc w:val="both"/>
        <w:rPr>
          <w:rFonts w:ascii="Verdana" w:eastAsia="Times New Roman" w:hAnsi="Verdana" w:cs="Times New Roman"/>
          <w:sz w:val="20"/>
          <w:szCs w:val="20"/>
          <w:lang w:eastAsia="es-ES"/>
        </w:rPr>
      </w:pPr>
    </w:p>
    <w:p w:rsidR="00AF7C98" w:rsidRPr="00AF7C98" w:rsidRDefault="00AF7C98" w:rsidP="00AF7C98">
      <w:pPr>
        <w:spacing w:after="0" w:line="360" w:lineRule="auto"/>
        <w:jc w:val="both"/>
        <w:rPr>
          <w:rFonts w:ascii="Times New Roman" w:eastAsia="Times New Roman" w:hAnsi="Times New Roman" w:cs="Times New Roman"/>
          <w:sz w:val="24"/>
          <w:szCs w:val="24"/>
          <w:lang w:eastAsia="es-ES"/>
        </w:rPr>
      </w:pPr>
      <w:r w:rsidRPr="00AF7C98">
        <w:rPr>
          <w:rFonts w:ascii="Verdana" w:eastAsia="Times New Roman" w:hAnsi="Verdana" w:cs="Times New Roman"/>
          <w:sz w:val="20"/>
          <w:szCs w:val="20"/>
          <w:lang w:eastAsia="es-ES"/>
        </w:rPr>
        <w:t>Los datos reunidos muestran que las revistas nacionales publicadas en el área de la salud desempeñan un importante papel en estos resultados.</w:t>
      </w:r>
    </w:p>
    <w:p w:rsidR="00AF7C98" w:rsidRPr="00AF7C98" w:rsidRDefault="00AF7C98" w:rsidP="00AF7C98">
      <w:pPr>
        <w:spacing w:after="0" w:line="360" w:lineRule="auto"/>
        <w:jc w:val="both"/>
        <w:rPr>
          <w:rFonts w:ascii="Verdana" w:eastAsia="Times New Roman" w:hAnsi="Verdana" w:cs="Times New Roman"/>
          <w:sz w:val="20"/>
          <w:szCs w:val="20"/>
          <w:lang w:eastAsia="es-ES"/>
        </w:rPr>
      </w:pPr>
    </w:p>
    <w:p w:rsidR="00AF7C98" w:rsidRPr="00AF7C98" w:rsidRDefault="00AF7C98" w:rsidP="00AF7C98">
      <w:pPr>
        <w:spacing w:after="0" w:line="360" w:lineRule="auto"/>
        <w:jc w:val="both"/>
        <w:rPr>
          <w:rFonts w:ascii="Times New Roman" w:eastAsia="Times New Roman" w:hAnsi="Times New Roman" w:cs="Times New Roman"/>
          <w:sz w:val="24"/>
          <w:szCs w:val="24"/>
          <w:lang w:eastAsia="es-ES"/>
        </w:rPr>
      </w:pPr>
      <w:r w:rsidRPr="00AF7C98">
        <w:rPr>
          <w:rFonts w:ascii="Verdana" w:eastAsia="Times New Roman" w:hAnsi="Verdana" w:cs="Times New Roman"/>
          <w:sz w:val="20"/>
          <w:szCs w:val="20"/>
          <w:lang w:eastAsia="es-ES"/>
        </w:rPr>
        <w:t>En objetivo de la presente contribución es mostrar el</w:t>
      </w:r>
      <w:r w:rsidRPr="00AF7C98">
        <w:rPr>
          <w:rFonts w:ascii="Verdana" w:eastAsia="Times New Roman" w:hAnsi="Verdana" w:cs="Times New Roman"/>
          <w:b/>
          <w:bCs/>
          <w:sz w:val="20"/>
          <w:szCs w:val="20"/>
          <w:lang w:eastAsia="es-ES"/>
        </w:rPr>
        <w:t xml:space="preserve"> </w:t>
      </w:r>
      <w:r w:rsidRPr="00AF7C98">
        <w:rPr>
          <w:rFonts w:ascii="Verdana" w:eastAsia="Times New Roman" w:hAnsi="Verdana" w:cs="Times New Roman"/>
          <w:sz w:val="20"/>
          <w:szCs w:val="20"/>
          <w:lang w:eastAsia="es-ES"/>
        </w:rPr>
        <w:t xml:space="preserve">comportamiento de los índices de citación de las revistas médicas </w:t>
      </w:r>
      <w:r w:rsidRPr="00AF7C98">
        <w:rPr>
          <w:rFonts w:ascii="Verdana" w:eastAsia="Times New Roman" w:hAnsi="Verdana" w:cs="Times New Roman"/>
          <w:sz w:val="20"/>
          <w:szCs w:val="20"/>
          <w:lang w:eastAsia="es-ES"/>
        </w:rPr>
        <w:lastRenderedPageBreak/>
        <w:t xml:space="preserve">nacionales de Cuba con respecto a las publicadas por un grupo de países seleccionados en América Latina, las diferencias de citación de sus artículos en relación con sus homólogas extranjeras, así como el comportamiento individual de cada revista cubana de salud procesada en </w:t>
      </w:r>
      <w:r w:rsidRPr="00AF7C98">
        <w:rPr>
          <w:rFonts w:ascii="Verdana" w:eastAsia="Times New Roman" w:hAnsi="Verdana" w:cs="Times New Roman"/>
          <w:i/>
          <w:sz w:val="20"/>
          <w:szCs w:val="20"/>
          <w:lang w:eastAsia="es-ES"/>
        </w:rPr>
        <w:t>Scopus</w:t>
      </w:r>
      <w:r w:rsidRPr="00AF7C98">
        <w:rPr>
          <w:rFonts w:ascii="Verdana" w:eastAsia="Times New Roman" w:hAnsi="Verdana" w:cs="Times New Roman"/>
          <w:sz w:val="20"/>
          <w:szCs w:val="20"/>
          <w:lang w:eastAsia="es-ES"/>
        </w:rPr>
        <w:t xml:space="preserve">, según índices de citación y por ciento de artículos no citados en el periodo estudiado. </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r w:rsidRPr="00AF7C98">
        <w:rPr>
          <w:rFonts w:ascii="Verdana" w:eastAsia="Times New Roman" w:hAnsi="Verdana" w:cs="Times New Roman"/>
          <w:b/>
          <w:bCs/>
          <w:kern w:val="36"/>
          <w:sz w:val="20"/>
          <w:szCs w:val="20"/>
          <w:lang w:eastAsia="es-ES"/>
        </w:rPr>
        <w:t>Producción en revistas nacionales y extranjeras según áreas del conocimiento</w:t>
      </w:r>
    </w:p>
    <w:p w:rsidR="00160C50" w:rsidRDefault="00AF7C98" w:rsidP="00AF7C98">
      <w:pPr>
        <w:spacing w:after="0" w:line="360" w:lineRule="auto"/>
        <w:jc w:val="both"/>
        <w:rPr>
          <w:rFonts w:ascii="Verdana" w:eastAsia="Times New Roman" w:hAnsi="Verdana" w:cs="Times New Roman"/>
          <w:bCs/>
          <w:iCs/>
          <w:kern w:val="36"/>
          <w:sz w:val="20"/>
          <w:szCs w:val="20"/>
          <w:lang w:eastAsia="es-ES"/>
        </w:rPr>
      </w:pPr>
      <w:r w:rsidRPr="00AF7C98">
        <w:rPr>
          <w:rFonts w:ascii="Verdana" w:eastAsia="Times New Roman" w:hAnsi="Verdana" w:cs="Times New Roman"/>
          <w:bCs/>
          <w:iCs/>
          <w:kern w:val="36"/>
          <w:sz w:val="20"/>
          <w:szCs w:val="20"/>
          <w:lang w:eastAsia="es-ES"/>
        </w:rPr>
        <w:t xml:space="preserve">En las categorías </w:t>
      </w:r>
      <w:r w:rsidRPr="00AF7C98">
        <w:rPr>
          <w:rFonts w:ascii="Verdana" w:eastAsia="Times New Roman" w:hAnsi="Verdana" w:cs="Times New Roman"/>
          <w:bCs/>
          <w:i/>
          <w:iCs/>
          <w:kern w:val="36"/>
          <w:sz w:val="20"/>
          <w:szCs w:val="20"/>
          <w:lang w:eastAsia="es-ES"/>
        </w:rPr>
        <w:t>Estomatología</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Profesiones de salud</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Medicina</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Inmunología y Microbiología</w:t>
      </w:r>
      <w:r w:rsidRPr="00AF7C98">
        <w:rPr>
          <w:rFonts w:ascii="Verdana" w:eastAsia="Times New Roman" w:hAnsi="Verdana" w:cs="Times New Roman"/>
          <w:bCs/>
          <w:iCs/>
          <w:kern w:val="36"/>
          <w:sz w:val="20"/>
          <w:szCs w:val="20"/>
          <w:lang w:eastAsia="es-ES"/>
        </w:rPr>
        <w:t xml:space="preserve"> y </w:t>
      </w:r>
      <w:r w:rsidRPr="00AF7C98">
        <w:rPr>
          <w:rFonts w:ascii="Verdana" w:eastAsia="Times New Roman" w:hAnsi="Verdana" w:cs="Times New Roman"/>
          <w:bCs/>
          <w:i/>
          <w:iCs/>
          <w:kern w:val="36"/>
          <w:sz w:val="20"/>
          <w:szCs w:val="20"/>
          <w:lang w:eastAsia="es-ES"/>
        </w:rPr>
        <w:t>Enfermería,</w:t>
      </w:r>
      <w:r w:rsidRPr="00AF7C98">
        <w:rPr>
          <w:rFonts w:ascii="Verdana" w:eastAsia="Times New Roman" w:hAnsi="Verdana" w:cs="Times New Roman"/>
          <w:bCs/>
          <w:iCs/>
          <w:kern w:val="36"/>
          <w:sz w:val="20"/>
          <w:szCs w:val="20"/>
          <w:lang w:eastAsia="es-ES"/>
        </w:rPr>
        <w:t xml:space="preserve"> más de la mitad de las contribuciones de autores radicados en instituciones de Cuba, se publicó en revistas nacionales (tabla 1). Los índices de citación de </w:t>
      </w:r>
      <w:r w:rsidRPr="00AF7C98">
        <w:rPr>
          <w:rFonts w:ascii="Verdana" w:eastAsia="Times New Roman" w:hAnsi="Verdana" w:cs="Times New Roman"/>
          <w:bCs/>
          <w:i/>
          <w:iCs/>
          <w:kern w:val="36"/>
          <w:sz w:val="20"/>
          <w:szCs w:val="20"/>
          <w:lang w:eastAsia="es-ES"/>
        </w:rPr>
        <w:t>Estomatología</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Profesiones de salud</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i/>
          <w:iCs/>
          <w:kern w:val="36"/>
          <w:sz w:val="20"/>
          <w:szCs w:val="20"/>
          <w:lang w:eastAsia="es-ES"/>
        </w:rPr>
        <w:t>Inmunología y Microbiología</w:t>
      </w:r>
      <w:r w:rsidRPr="00AF7C98">
        <w:rPr>
          <w:rFonts w:ascii="Verdana" w:eastAsia="Times New Roman" w:hAnsi="Verdana" w:cs="Times New Roman"/>
          <w:bCs/>
          <w:iCs/>
          <w:kern w:val="36"/>
          <w:sz w:val="20"/>
          <w:szCs w:val="20"/>
          <w:lang w:eastAsia="es-ES"/>
        </w:rPr>
        <w:t xml:space="preserve"> y </w:t>
      </w:r>
      <w:r w:rsidRPr="00AF7C98">
        <w:rPr>
          <w:rFonts w:ascii="Verdana" w:eastAsia="Times New Roman" w:hAnsi="Verdana" w:cs="Times New Roman"/>
          <w:bCs/>
          <w:i/>
          <w:iCs/>
          <w:kern w:val="36"/>
          <w:sz w:val="20"/>
          <w:szCs w:val="20"/>
          <w:lang w:eastAsia="es-ES"/>
        </w:rPr>
        <w:t>Enfermería</w:t>
      </w:r>
      <w:r w:rsidRPr="00AF7C98">
        <w:rPr>
          <w:rFonts w:ascii="Verdana" w:eastAsia="Times New Roman" w:hAnsi="Verdana" w:cs="Times New Roman"/>
          <w:bCs/>
          <w:iCs/>
          <w:kern w:val="36"/>
          <w:sz w:val="20"/>
          <w:szCs w:val="20"/>
          <w:lang w:eastAsia="es-ES"/>
        </w:rPr>
        <w:t xml:space="preserve"> se ubicaron por debajo del valor de la mediana de este indicador (3,2). </w:t>
      </w:r>
      <w:r w:rsidRPr="00AF7C98">
        <w:rPr>
          <w:rFonts w:ascii="Verdana" w:eastAsia="Times New Roman" w:hAnsi="Verdana" w:cs="Times New Roman"/>
          <w:bCs/>
          <w:i/>
          <w:iCs/>
          <w:kern w:val="36"/>
          <w:sz w:val="20"/>
          <w:szCs w:val="20"/>
          <w:lang w:eastAsia="es-ES"/>
        </w:rPr>
        <w:t>Profesiones de salud</w:t>
      </w:r>
      <w:r w:rsidRPr="00AF7C98">
        <w:rPr>
          <w:rFonts w:ascii="Verdana" w:eastAsia="Times New Roman" w:hAnsi="Verdana" w:cs="Times New Roman"/>
          <w:bCs/>
          <w:iCs/>
          <w:kern w:val="36"/>
          <w:sz w:val="20"/>
          <w:szCs w:val="20"/>
          <w:lang w:eastAsia="es-ES"/>
        </w:rPr>
        <w:t xml:space="preserve"> fue el área del conocimiento con mayor número de artículos publicados en revistas </w:t>
      </w: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r w:rsidRPr="00AF7C98">
        <w:rPr>
          <w:rFonts w:ascii="Verdana" w:eastAsia="Times New Roman" w:hAnsi="Verdana" w:cs="Times New Roman"/>
          <w:bCs/>
          <w:iCs/>
          <w:kern w:val="36"/>
          <w:sz w:val="20"/>
          <w:szCs w:val="20"/>
          <w:lang w:eastAsia="es-ES"/>
        </w:rPr>
        <w:lastRenderedPageBreak/>
        <w:t xml:space="preserve">nacionales (anexo), sin embargo, sus artículos fueron los que menos citas </w:t>
      </w:r>
      <w:r w:rsidRPr="00AF7C98">
        <w:rPr>
          <w:rFonts w:ascii="Verdana" w:eastAsia="Times New Roman" w:hAnsi="Verdana" w:cs="Times New Roman"/>
          <w:bCs/>
          <w:iCs/>
          <w:kern w:val="36"/>
          <w:sz w:val="20"/>
          <w:szCs w:val="20"/>
          <w:lang w:eastAsia="es-ES"/>
        </w:rPr>
        <w:lastRenderedPageBreak/>
        <w:t>recibieron entre las cuatro áreas referidas.</w:t>
      </w:r>
      <w:r w:rsidRPr="00AF7C98">
        <w:rPr>
          <w:rFonts w:ascii="Verdana" w:eastAsia="Times New Roman" w:hAnsi="Verdana" w:cs="Times New Roman"/>
          <w:bCs/>
          <w:iCs/>
          <w:kern w:val="36"/>
          <w:sz w:val="20"/>
          <w:szCs w:val="20"/>
          <w:vertAlign w:val="superscript"/>
          <w:lang w:eastAsia="es-ES"/>
        </w:rPr>
        <w:t>5</w:t>
      </w:r>
      <w:r w:rsidRPr="00AF7C98">
        <w:rPr>
          <w:rFonts w:ascii="Verdana" w:eastAsia="Times New Roman" w:hAnsi="Verdana" w:cs="Times New Roman"/>
          <w:bCs/>
          <w:iCs/>
          <w:kern w:val="36"/>
          <w:sz w:val="20"/>
          <w:szCs w:val="20"/>
          <w:lang w:eastAsia="es-ES"/>
        </w:rPr>
        <w:t xml:space="preserve"> </w:t>
      </w:r>
    </w:p>
    <w:p w:rsidR="00160C50" w:rsidRDefault="00160C50" w:rsidP="00AF7C98">
      <w:pPr>
        <w:spacing w:after="0" w:line="240" w:lineRule="auto"/>
        <w:rPr>
          <w:rFonts w:ascii="Verdana" w:eastAsia="Times New Roman" w:hAnsi="Verdana" w:cs="Times New Roman"/>
          <w:bCs/>
          <w:kern w:val="36"/>
          <w:sz w:val="20"/>
          <w:szCs w:val="20"/>
          <w:lang w:eastAsia="es-ES"/>
        </w:rPr>
        <w:sectPr w:rsidR="00160C50" w:rsidSect="00160C50">
          <w:type w:val="continuous"/>
          <w:pgSz w:w="11906" w:h="16838"/>
          <w:pgMar w:top="1417" w:right="1701" w:bottom="1417" w:left="1701" w:header="708" w:footer="708" w:gutter="0"/>
          <w:cols w:num="2" w:space="708"/>
          <w:titlePg/>
          <w:docGrid w:linePitch="360"/>
        </w:sectPr>
      </w:pPr>
    </w:p>
    <w:p w:rsidR="00160C50" w:rsidRDefault="00160C50" w:rsidP="00AF7C98">
      <w:pPr>
        <w:spacing w:after="0" w:line="360" w:lineRule="auto"/>
        <w:ind w:firstLine="708"/>
        <w:jc w:val="center"/>
        <w:rPr>
          <w:rFonts w:ascii="Verdana" w:eastAsia="Times New Roman" w:hAnsi="Verdana" w:cs="Arial"/>
          <w:kern w:val="36"/>
          <w:sz w:val="20"/>
          <w:szCs w:val="20"/>
          <w:lang w:eastAsia="es-ES"/>
        </w:rPr>
      </w:pPr>
    </w:p>
    <w:p w:rsidR="00AF7C98" w:rsidRPr="00AF7C98" w:rsidRDefault="00AF7C98" w:rsidP="00AF7C98">
      <w:pPr>
        <w:spacing w:after="0" w:line="360" w:lineRule="auto"/>
        <w:ind w:firstLine="708"/>
        <w:jc w:val="center"/>
        <w:rPr>
          <w:rFonts w:ascii="Verdana" w:eastAsia="Times New Roman" w:hAnsi="Verdana" w:cs="Arial"/>
          <w:kern w:val="36"/>
          <w:sz w:val="20"/>
          <w:szCs w:val="20"/>
          <w:lang w:eastAsia="es-ES"/>
        </w:rPr>
      </w:pPr>
      <w:r w:rsidRPr="00AF7C98">
        <w:rPr>
          <w:rFonts w:ascii="Verdana" w:eastAsia="Times New Roman" w:hAnsi="Verdana" w:cs="Arial"/>
          <w:kern w:val="36"/>
          <w:sz w:val="20"/>
          <w:szCs w:val="20"/>
          <w:lang w:eastAsia="es-ES"/>
        </w:rPr>
        <w:t xml:space="preserve">Tabla 1. Producción en revistas nacionales y extranjeras según áreas del conocimiento, Cuba, </w:t>
      </w:r>
      <w:r w:rsidRPr="00AF7C98">
        <w:rPr>
          <w:rFonts w:ascii="Verdana" w:eastAsia="Times New Roman" w:hAnsi="Verdana" w:cs="Arial"/>
          <w:i/>
          <w:kern w:val="36"/>
          <w:sz w:val="20"/>
          <w:szCs w:val="20"/>
          <w:lang w:eastAsia="es-ES"/>
        </w:rPr>
        <w:t>Scopus</w:t>
      </w:r>
      <w:r w:rsidRPr="00AF7C98">
        <w:rPr>
          <w:rFonts w:ascii="Verdana" w:eastAsia="Times New Roman" w:hAnsi="Verdana" w:cs="Arial"/>
          <w:kern w:val="36"/>
          <w:sz w:val="20"/>
          <w:szCs w:val="20"/>
          <w:lang w:eastAsia="es-ES"/>
        </w:rPr>
        <w:t>, 2009-2013</w:t>
      </w:r>
    </w:p>
    <w:tbl>
      <w:tblPr>
        <w:tblW w:w="8693"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148"/>
        <w:gridCol w:w="1417"/>
        <w:gridCol w:w="1134"/>
        <w:gridCol w:w="1418"/>
        <w:gridCol w:w="1089"/>
      </w:tblGrid>
      <w:tr w:rsidR="00AF7C98" w:rsidRPr="00AF7C98" w:rsidTr="00160C50">
        <w:trPr>
          <w:trHeight w:val="433"/>
          <w:jc w:val="center"/>
        </w:trPr>
        <w:tc>
          <w:tcPr>
            <w:tcW w:w="248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Área del</w:t>
            </w:r>
          </w:p>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conocimiento *</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Total de artículos</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En revistas nacionales</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Por ciento</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En revistas extranjeras</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Por ciento</w:t>
            </w:r>
          </w:p>
        </w:tc>
      </w:tr>
      <w:tr w:rsidR="00AF7C98" w:rsidRPr="00AF7C98" w:rsidTr="00160C50">
        <w:trPr>
          <w:trHeight w:val="402"/>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Bioquímica, genética y biología molecular</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993</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242</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24,3</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751</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75,6</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Inmunología y microbiología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1005</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621</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61,7</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384</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38,2</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Medicina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kern w:val="36"/>
                <w:sz w:val="18"/>
                <w:szCs w:val="18"/>
                <w:lang w:eastAsia="es-ES"/>
              </w:rPr>
              <w:t>4929</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3128</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63,4</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1801</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36,5</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Farmacología, toxicología y farmacia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851</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383</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45,0</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468</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54,9</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Neurociencias</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247</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0</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0,0</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247</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100,0</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Estomatología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169</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148</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87,5</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21</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12,4</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Enfermería</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163</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89</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54,6</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74</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45,3</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Profesiones de salud</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482</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406</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84,2</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76</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15,7</w:t>
            </w:r>
          </w:p>
        </w:tc>
      </w:tr>
      <w:tr w:rsidR="00AF7C98" w:rsidRPr="00AF7C98" w:rsidTr="00160C50">
        <w:trPr>
          <w:jc w:val="center"/>
        </w:trPr>
        <w:tc>
          <w:tcPr>
            <w:tcW w:w="2487" w:type="dxa"/>
            <w:shd w:val="clear" w:color="auto" w:fill="auto"/>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Total</w:t>
            </w:r>
          </w:p>
        </w:tc>
        <w:tc>
          <w:tcPr>
            <w:tcW w:w="1148" w:type="dxa"/>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 xml:space="preserve">8839 </w:t>
            </w:r>
          </w:p>
        </w:tc>
        <w:tc>
          <w:tcPr>
            <w:tcW w:w="1417"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5017</w:t>
            </w:r>
          </w:p>
        </w:tc>
        <w:tc>
          <w:tcPr>
            <w:tcW w:w="1134"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56,7</w:t>
            </w:r>
          </w:p>
        </w:tc>
        <w:tc>
          <w:tcPr>
            <w:tcW w:w="1418"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3822</w:t>
            </w:r>
          </w:p>
        </w:tc>
        <w:tc>
          <w:tcPr>
            <w:tcW w:w="1089" w:type="dxa"/>
            <w:shd w:val="clear" w:color="auto" w:fill="auto"/>
          </w:tcPr>
          <w:p w:rsidR="00AF7C98" w:rsidRPr="00AF7C98" w:rsidRDefault="00AF7C98" w:rsidP="00AF7C98">
            <w:pPr>
              <w:spacing w:after="0" w:line="240" w:lineRule="auto"/>
              <w:jc w:val="center"/>
              <w:rPr>
                <w:rFonts w:ascii="Verdana" w:eastAsia="Times New Roman" w:hAnsi="Verdana" w:cs="Arial"/>
                <w:bCs/>
                <w:iCs/>
                <w:kern w:val="36"/>
                <w:sz w:val="18"/>
                <w:szCs w:val="18"/>
                <w:lang w:eastAsia="es-ES"/>
              </w:rPr>
            </w:pPr>
            <w:r w:rsidRPr="00AF7C98">
              <w:rPr>
                <w:rFonts w:ascii="Verdana" w:eastAsia="Times New Roman" w:hAnsi="Verdana" w:cs="Arial"/>
                <w:bCs/>
                <w:iCs/>
                <w:kern w:val="36"/>
                <w:sz w:val="18"/>
                <w:szCs w:val="18"/>
                <w:lang w:eastAsia="es-ES"/>
              </w:rPr>
              <w:t>43,2</w:t>
            </w:r>
          </w:p>
        </w:tc>
      </w:tr>
    </w:tbl>
    <w:p w:rsidR="00AF7C98" w:rsidRPr="00AF7C98" w:rsidRDefault="00AF7C98" w:rsidP="00AF7C98">
      <w:pPr>
        <w:spacing w:after="0" w:line="240" w:lineRule="auto"/>
        <w:jc w:val="center"/>
        <w:rPr>
          <w:rFonts w:ascii="Verdana" w:eastAsia="Times New Roman" w:hAnsi="Verdana" w:cs="Arial"/>
          <w:color w:val="FF0000"/>
          <w:kern w:val="36"/>
          <w:sz w:val="20"/>
          <w:szCs w:val="20"/>
          <w:lang w:eastAsia="es-ES"/>
        </w:rPr>
      </w:pPr>
      <w:r w:rsidRPr="00AF7C98">
        <w:rPr>
          <w:rFonts w:ascii="Verdana" w:eastAsia="Times New Roman" w:hAnsi="Verdana" w:cs="Arial"/>
          <w:bCs/>
          <w:iCs/>
          <w:kern w:val="36"/>
          <w:sz w:val="20"/>
          <w:szCs w:val="20"/>
          <w:lang w:eastAsia="es-ES"/>
        </w:rPr>
        <w:t xml:space="preserve">* Las áreas del conocimiento no son excluyentes. Además, </w:t>
      </w:r>
      <w:r w:rsidRPr="00AF7C98">
        <w:rPr>
          <w:rFonts w:ascii="Verdana" w:eastAsia="Times New Roman" w:hAnsi="Verdana" w:cs="Arial"/>
          <w:bCs/>
          <w:i/>
          <w:iCs/>
          <w:kern w:val="36"/>
          <w:sz w:val="20"/>
          <w:szCs w:val="20"/>
          <w:lang w:eastAsia="es-ES"/>
        </w:rPr>
        <w:t>Scopus</w:t>
      </w:r>
      <w:r w:rsidRPr="00AF7C98">
        <w:rPr>
          <w:rFonts w:ascii="Verdana" w:eastAsia="Times New Roman" w:hAnsi="Verdana" w:cs="Arial"/>
          <w:bCs/>
          <w:iCs/>
          <w:kern w:val="36"/>
          <w:sz w:val="20"/>
          <w:szCs w:val="20"/>
          <w:lang w:eastAsia="es-ES"/>
        </w:rPr>
        <w:t xml:space="preserve"> </w:t>
      </w:r>
      <w:r w:rsidRPr="00AF7C98">
        <w:rPr>
          <w:rFonts w:ascii="Verdana" w:eastAsia="Times New Roman" w:hAnsi="Verdana" w:cs="Arial"/>
          <w:kern w:val="36"/>
          <w:sz w:val="20"/>
          <w:szCs w:val="20"/>
          <w:lang w:eastAsia="es-ES"/>
        </w:rPr>
        <w:t xml:space="preserve">se actualiza diariamente y </w:t>
      </w:r>
      <w:r w:rsidRPr="00AF7C98">
        <w:rPr>
          <w:rFonts w:ascii="Verdana" w:eastAsia="Times New Roman" w:hAnsi="Verdana" w:cs="Arial"/>
          <w:i/>
          <w:kern w:val="36"/>
          <w:sz w:val="20"/>
          <w:szCs w:val="20"/>
          <w:lang w:eastAsia="es-ES"/>
        </w:rPr>
        <w:t>SciVal</w:t>
      </w:r>
      <w:r w:rsidRPr="00AF7C98">
        <w:rPr>
          <w:rFonts w:ascii="Verdana" w:eastAsia="Times New Roman" w:hAnsi="Verdana" w:cs="Arial"/>
          <w:kern w:val="36"/>
          <w:sz w:val="20"/>
          <w:szCs w:val="20"/>
          <w:lang w:eastAsia="es-ES"/>
        </w:rPr>
        <w:t>, con frecuencia semanal, y por ello, existen diferencias entre el total real de artículos que informa cada servicio.</w:t>
      </w:r>
      <w:r w:rsidRPr="00AF7C98">
        <w:rPr>
          <w:rFonts w:ascii="Verdana" w:eastAsia="Times New Roman" w:hAnsi="Verdana" w:cs="Arial"/>
          <w:color w:val="FF0000"/>
          <w:kern w:val="36"/>
          <w:sz w:val="20"/>
          <w:szCs w:val="20"/>
          <w:lang w:eastAsia="es-ES"/>
        </w:rPr>
        <w:t xml:space="preserve"> </w:t>
      </w:r>
    </w:p>
    <w:p w:rsidR="00AF7C98" w:rsidRPr="00AF7C98" w:rsidRDefault="00AF7C98" w:rsidP="00AF7C98">
      <w:pPr>
        <w:spacing w:after="0" w:line="240" w:lineRule="auto"/>
        <w:jc w:val="center"/>
        <w:outlineLvl w:val="1"/>
        <w:rPr>
          <w:rFonts w:ascii="Verdana" w:eastAsia="Times New Roman" w:hAnsi="Verdana" w:cs="Arial"/>
          <w:kern w:val="36"/>
          <w:sz w:val="20"/>
          <w:szCs w:val="20"/>
          <w:lang w:eastAsia="es-ES"/>
        </w:rPr>
      </w:pPr>
      <w:r w:rsidRPr="00AF7C98">
        <w:rPr>
          <w:rFonts w:ascii="Verdana" w:eastAsia="Times New Roman" w:hAnsi="Verdana" w:cs="Arial"/>
          <w:kern w:val="36"/>
          <w:sz w:val="20"/>
          <w:szCs w:val="20"/>
          <w:lang w:eastAsia="es-ES"/>
        </w:rPr>
        <w:t>Fuente:</w:t>
      </w:r>
      <w:r w:rsidRPr="00AF7C98">
        <w:rPr>
          <w:rFonts w:ascii="Verdana" w:eastAsia="Times New Roman" w:hAnsi="Verdana" w:cs="Arial"/>
          <w:i/>
          <w:iCs/>
          <w:kern w:val="36"/>
          <w:sz w:val="20"/>
          <w:szCs w:val="20"/>
          <w:lang w:eastAsia="es-ES"/>
        </w:rPr>
        <w:t xml:space="preserve"> SciVal</w:t>
      </w:r>
      <w:r w:rsidRPr="00AF7C98">
        <w:rPr>
          <w:rFonts w:ascii="Verdana" w:eastAsia="Times New Roman" w:hAnsi="Verdana" w:cs="Arial"/>
          <w:kern w:val="36"/>
          <w:sz w:val="20"/>
          <w:szCs w:val="20"/>
          <w:lang w:eastAsia="es-ES"/>
        </w:rPr>
        <w:t>, 6 de noviembre de 2014.</w:t>
      </w:r>
    </w:p>
    <w:p w:rsidR="00AF7C98" w:rsidRPr="00AF7C98" w:rsidRDefault="00AF7C98" w:rsidP="00AF7C98">
      <w:pPr>
        <w:spacing w:after="0" w:line="360" w:lineRule="auto"/>
        <w:jc w:val="both"/>
        <w:rPr>
          <w:rFonts w:ascii="Verdana" w:eastAsia="Times New Roman" w:hAnsi="Verdana" w:cs="Arial"/>
          <w:bCs/>
          <w:color w:val="FF0000"/>
          <w:kern w:val="36"/>
          <w:sz w:val="20"/>
          <w:szCs w:val="20"/>
          <w:lang w:eastAsia="es-ES"/>
        </w:rPr>
      </w:pPr>
    </w:p>
    <w:p w:rsidR="00160C50" w:rsidRDefault="00160C50" w:rsidP="00AF7C98">
      <w:pPr>
        <w:spacing w:after="0" w:line="360" w:lineRule="auto"/>
        <w:jc w:val="both"/>
        <w:rPr>
          <w:rFonts w:ascii="Verdana" w:eastAsia="Times New Roman" w:hAnsi="Verdana" w:cs="Times New Roman"/>
          <w:bCs/>
          <w:iCs/>
          <w:kern w:val="36"/>
          <w:sz w:val="20"/>
          <w:szCs w:val="20"/>
          <w:lang w:eastAsia="es-ES"/>
        </w:rPr>
        <w:sectPr w:rsidR="00160C50"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r w:rsidRPr="00AF7C98">
        <w:rPr>
          <w:rFonts w:ascii="Verdana" w:eastAsia="Times New Roman" w:hAnsi="Verdana" w:cs="Times New Roman"/>
          <w:bCs/>
          <w:iCs/>
          <w:kern w:val="36"/>
          <w:sz w:val="20"/>
          <w:szCs w:val="20"/>
          <w:lang w:eastAsia="es-ES"/>
        </w:rPr>
        <w:lastRenderedPageBreak/>
        <w:t xml:space="preserve">Más de la mitad de los artículos publicados en </w:t>
      </w:r>
      <w:r w:rsidRPr="00AF7C98">
        <w:rPr>
          <w:rFonts w:ascii="Verdana" w:eastAsia="Times New Roman" w:hAnsi="Verdana" w:cs="Arial"/>
          <w:bCs/>
          <w:i/>
          <w:kern w:val="36"/>
          <w:sz w:val="20"/>
          <w:szCs w:val="20"/>
          <w:lang w:eastAsia="es-ES"/>
        </w:rPr>
        <w:t>Bioquímica, genética y biología molecular</w:t>
      </w:r>
      <w:r w:rsidRPr="00AF7C98">
        <w:rPr>
          <w:rFonts w:ascii="Verdana" w:eastAsia="Times New Roman" w:hAnsi="Verdana" w:cs="Arial"/>
          <w:bCs/>
          <w:kern w:val="36"/>
          <w:sz w:val="20"/>
          <w:szCs w:val="20"/>
          <w:lang w:eastAsia="es-ES"/>
        </w:rPr>
        <w:t xml:space="preserve">, </w:t>
      </w:r>
      <w:r w:rsidRPr="00AF7C98">
        <w:rPr>
          <w:rFonts w:ascii="Verdana" w:eastAsia="Times New Roman" w:hAnsi="Verdana" w:cs="Arial"/>
          <w:bCs/>
          <w:i/>
          <w:kern w:val="36"/>
          <w:sz w:val="20"/>
          <w:szCs w:val="20"/>
          <w:lang w:eastAsia="es-ES"/>
        </w:rPr>
        <w:t>Farmacología, toxicología y farmacia</w:t>
      </w:r>
      <w:r w:rsidRPr="00AF7C98">
        <w:rPr>
          <w:rFonts w:ascii="Verdana" w:eastAsia="Times New Roman" w:hAnsi="Verdana" w:cs="Arial"/>
          <w:bCs/>
          <w:kern w:val="36"/>
          <w:sz w:val="20"/>
          <w:szCs w:val="20"/>
          <w:lang w:eastAsia="es-ES"/>
        </w:rPr>
        <w:t xml:space="preserve"> y </w:t>
      </w:r>
      <w:r w:rsidRPr="00AF7C98">
        <w:rPr>
          <w:rFonts w:ascii="Verdana" w:eastAsia="Times New Roman" w:hAnsi="Verdana" w:cs="Arial"/>
          <w:bCs/>
          <w:i/>
          <w:kern w:val="36"/>
          <w:sz w:val="20"/>
          <w:szCs w:val="20"/>
          <w:lang w:eastAsia="es-ES"/>
        </w:rPr>
        <w:t>Neurociencias</w:t>
      </w:r>
      <w:r w:rsidRPr="00AF7C98">
        <w:rPr>
          <w:rFonts w:ascii="Verdana" w:eastAsia="Times New Roman" w:hAnsi="Verdana" w:cs="Arial"/>
          <w:bCs/>
          <w:kern w:val="36"/>
          <w:sz w:val="20"/>
          <w:szCs w:val="20"/>
          <w:lang w:eastAsia="es-ES"/>
        </w:rPr>
        <w:t>, se editaron en revistas extranjeras. De ellas, dos presentaron índices de citas por encima de la mediana (</w:t>
      </w:r>
      <w:r w:rsidRPr="00AF7C98">
        <w:rPr>
          <w:rFonts w:ascii="Verdana" w:eastAsia="Times New Roman" w:hAnsi="Verdana" w:cs="Arial"/>
          <w:bCs/>
          <w:i/>
          <w:kern w:val="36"/>
          <w:sz w:val="20"/>
          <w:szCs w:val="20"/>
          <w:lang w:eastAsia="es-ES"/>
        </w:rPr>
        <w:t xml:space="preserve">Bioquímica, genética y biología molecular </w:t>
      </w:r>
      <w:r w:rsidRPr="00AF7C98">
        <w:rPr>
          <w:rFonts w:ascii="Verdana" w:eastAsia="Times New Roman" w:hAnsi="Verdana" w:cs="Arial"/>
          <w:bCs/>
          <w:kern w:val="36"/>
          <w:sz w:val="20"/>
          <w:szCs w:val="20"/>
          <w:lang w:eastAsia="es-ES"/>
        </w:rPr>
        <w:t xml:space="preserve">y </w:t>
      </w:r>
      <w:r w:rsidRPr="00AF7C98">
        <w:rPr>
          <w:rFonts w:ascii="Verdana" w:eastAsia="Times New Roman" w:hAnsi="Verdana" w:cs="Arial"/>
          <w:bCs/>
          <w:i/>
          <w:kern w:val="36"/>
          <w:sz w:val="20"/>
          <w:szCs w:val="20"/>
          <w:lang w:eastAsia="es-ES"/>
        </w:rPr>
        <w:t>Neurociencias</w:t>
      </w:r>
      <w:r w:rsidRPr="00AF7C98">
        <w:rPr>
          <w:rFonts w:ascii="Verdana" w:eastAsia="Times New Roman" w:hAnsi="Verdana" w:cs="Arial"/>
          <w:bCs/>
          <w:kern w:val="36"/>
          <w:sz w:val="20"/>
          <w:szCs w:val="20"/>
          <w:lang w:eastAsia="es-ES"/>
        </w:rPr>
        <w:t>), esta última  encabezó la lista de materias más citadas en el sector de la salud en Cuba.</w:t>
      </w:r>
      <w:r w:rsidRPr="00AF7C98">
        <w:rPr>
          <w:rFonts w:ascii="Verdana" w:eastAsia="Times New Roman" w:hAnsi="Verdana" w:cs="Times New Roman"/>
          <w:bCs/>
          <w:iCs/>
          <w:kern w:val="36"/>
          <w:sz w:val="20"/>
          <w:szCs w:val="20"/>
          <w:vertAlign w:val="superscript"/>
          <w:lang w:eastAsia="es-ES"/>
        </w:rPr>
        <w:t>5</w:t>
      </w:r>
      <w:r w:rsidRPr="00AF7C98">
        <w:rPr>
          <w:rFonts w:ascii="Verdana" w:eastAsia="Times New Roman" w:hAnsi="Verdana" w:cs="Arial"/>
          <w:bCs/>
          <w:kern w:val="36"/>
          <w:sz w:val="20"/>
          <w:szCs w:val="20"/>
          <w:lang w:eastAsia="es-ES"/>
        </w:rPr>
        <w:t xml:space="preserve">   </w:t>
      </w:r>
      <w:r w:rsidRPr="00AF7C98">
        <w:rPr>
          <w:rFonts w:ascii="Verdana" w:eastAsia="Times New Roman" w:hAnsi="Verdana" w:cs="Times New Roman"/>
          <w:bCs/>
          <w:iCs/>
          <w:kern w:val="36"/>
          <w:sz w:val="20"/>
          <w:szCs w:val="20"/>
          <w:lang w:eastAsia="es-ES"/>
        </w:rPr>
        <w:t xml:space="preserve">   </w:t>
      </w:r>
      <w:r w:rsidRPr="00AF7C98">
        <w:rPr>
          <w:rFonts w:ascii="Verdana" w:eastAsia="Times New Roman" w:hAnsi="Verdana" w:cs="Times New Roman"/>
          <w:bCs/>
          <w:kern w:val="36"/>
          <w:sz w:val="20"/>
          <w:szCs w:val="20"/>
          <w:lang w:eastAsia="es-ES"/>
        </w:rPr>
        <w:t xml:space="preserve">  </w:t>
      </w:r>
    </w:p>
    <w:p w:rsidR="00AF7C98" w:rsidRPr="00AF7C98" w:rsidRDefault="00AF7C98" w:rsidP="00AF7C98">
      <w:pPr>
        <w:spacing w:after="0" w:line="360" w:lineRule="auto"/>
        <w:jc w:val="both"/>
        <w:rPr>
          <w:rFonts w:ascii="Verdana" w:eastAsia="Times New Roman" w:hAnsi="Verdana" w:cs="Times New Roman"/>
          <w:b/>
          <w:bCs/>
          <w:kern w:val="36"/>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6C541F" w:rsidRDefault="006C541F" w:rsidP="00160C50">
      <w:pPr>
        <w:spacing w:after="0" w:line="360" w:lineRule="auto"/>
        <w:jc w:val="both"/>
        <w:outlineLvl w:val="1"/>
        <w:rPr>
          <w:rFonts w:ascii="Verdana" w:eastAsia="Times New Roman" w:hAnsi="Verdana" w:cs="Times New Roman"/>
          <w:b/>
          <w:sz w:val="20"/>
          <w:szCs w:val="20"/>
          <w:lang w:eastAsia="es-ES"/>
        </w:rPr>
      </w:pPr>
    </w:p>
    <w:p w:rsidR="00160C50" w:rsidRDefault="00AF7C98" w:rsidP="00160C50">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
          <w:sz w:val="20"/>
          <w:szCs w:val="20"/>
          <w:lang w:eastAsia="es-ES"/>
        </w:rPr>
        <w:lastRenderedPageBreak/>
        <w:t xml:space="preserve">Índices de citación de las revistas médicas nacionales de países seleccionados </w:t>
      </w:r>
    </w:p>
    <w:p w:rsidR="00160C50" w:rsidRDefault="00160C50" w:rsidP="00160C50">
      <w:pPr>
        <w:spacing w:after="0" w:line="360" w:lineRule="auto"/>
        <w:jc w:val="both"/>
        <w:outlineLvl w:val="1"/>
        <w:rPr>
          <w:rFonts w:ascii="Verdana" w:eastAsia="Times New Roman" w:hAnsi="Verdana" w:cs="Times New Roman"/>
          <w:bCs/>
          <w:sz w:val="20"/>
          <w:szCs w:val="20"/>
          <w:lang w:eastAsia="es-ES"/>
        </w:rPr>
      </w:pPr>
    </w:p>
    <w:p w:rsidR="006C541F" w:rsidRDefault="00AF7C98" w:rsidP="00160C50">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t xml:space="preserve">En relación con los índices de citación promedio de los países latinoamericanos con una infraestructura editorial propia: Brasil, México, Chile, Argentina, Venezuela, Colombia y Cuba; sobresalió el caso de Brasil que presentó el grupo más amplio revistas médicas propias, así como el mayor nivel de citación promedio de revistas nacionales entre los países estudiados (tabla 2). </w:t>
      </w:r>
    </w:p>
    <w:p w:rsidR="006C541F" w:rsidRDefault="006C541F" w:rsidP="00160C50">
      <w:pPr>
        <w:spacing w:after="0" w:line="360" w:lineRule="auto"/>
        <w:jc w:val="both"/>
        <w:outlineLvl w:val="1"/>
        <w:rPr>
          <w:rFonts w:ascii="Verdana" w:eastAsia="Times New Roman" w:hAnsi="Verdana" w:cs="Times New Roman"/>
          <w:bCs/>
          <w:sz w:val="20"/>
          <w:szCs w:val="20"/>
          <w:lang w:eastAsia="es-ES"/>
        </w:rPr>
      </w:pPr>
    </w:p>
    <w:p w:rsidR="006C541F" w:rsidRDefault="006C541F" w:rsidP="00160C50">
      <w:pPr>
        <w:spacing w:after="0" w:line="360" w:lineRule="auto"/>
        <w:jc w:val="both"/>
        <w:outlineLvl w:val="1"/>
        <w:rPr>
          <w:rFonts w:ascii="Verdana" w:eastAsia="Times New Roman" w:hAnsi="Verdana" w:cs="Times New Roman"/>
          <w:bCs/>
          <w:sz w:val="20"/>
          <w:szCs w:val="20"/>
          <w:lang w:eastAsia="es-ES"/>
        </w:rPr>
      </w:pPr>
    </w:p>
    <w:p w:rsidR="006C541F" w:rsidRDefault="006C541F" w:rsidP="00160C50">
      <w:pPr>
        <w:spacing w:after="0" w:line="360" w:lineRule="auto"/>
        <w:jc w:val="both"/>
        <w:outlineLvl w:val="1"/>
        <w:rPr>
          <w:rFonts w:ascii="Verdana" w:eastAsia="Times New Roman" w:hAnsi="Verdana" w:cs="Times New Roman"/>
          <w:bCs/>
          <w:sz w:val="20"/>
          <w:szCs w:val="20"/>
          <w:lang w:eastAsia="es-ES"/>
        </w:rPr>
      </w:pPr>
    </w:p>
    <w:p w:rsidR="00AF7C98" w:rsidRPr="00AF7C98" w:rsidRDefault="00AF7C98" w:rsidP="00160C50">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 xml:space="preserve">Cuba, con un total de revistas similar al de Chile y Colombia, mostró, sin embargo, el más bajo nivel de citación </w:t>
      </w:r>
      <w:r w:rsidRPr="00AF7C98">
        <w:rPr>
          <w:rFonts w:ascii="Verdana" w:eastAsia="Times New Roman" w:hAnsi="Verdana" w:cs="Times New Roman"/>
          <w:bCs/>
          <w:sz w:val="20"/>
          <w:szCs w:val="20"/>
          <w:lang w:eastAsia="es-ES"/>
        </w:rPr>
        <w:lastRenderedPageBreak/>
        <w:t xml:space="preserve">promedio entre los 7 países analizados (0,05).    </w:t>
      </w:r>
    </w:p>
    <w:p w:rsidR="00160C50" w:rsidRDefault="00160C50" w:rsidP="00AF7C98">
      <w:pPr>
        <w:spacing w:after="0" w:line="360" w:lineRule="auto"/>
        <w:jc w:val="both"/>
        <w:rPr>
          <w:rFonts w:ascii="Verdana" w:eastAsia="Times New Roman" w:hAnsi="Verdana" w:cs="Times New Roman"/>
          <w:bCs/>
          <w:sz w:val="18"/>
          <w:szCs w:val="18"/>
          <w:lang w:eastAsia="es-ES"/>
        </w:rPr>
        <w:sectPr w:rsidR="00160C50" w:rsidSect="00160C50">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jc w:val="both"/>
        <w:rPr>
          <w:rFonts w:ascii="Verdana" w:eastAsia="Times New Roman" w:hAnsi="Verdana" w:cs="Times New Roman"/>
          <w:bCs/>
          <w:sz w:val="18"/>
          <w:szCs w:val="18"/>
          <w:lang w:eastAsia="es-ES"/>
        </w:rPr>
      </w:pPr>
    </w:p>
    <w:p w:rsidR="00AF7C98" w:rsidRPr="00AF7C98" w:rsidRDefault="00AF7C98" w:rsidP="00AF7C98">
      <w:pPr>
        <w:spacing w:after="0" w:line="360" w:lineRule="auto"/>
        <w:jc w:val="center"/>
        <w:rPr>
          <w:rFonts w:ascii="Verdana" w:eastAsia="Times New Roman" w:hAnsi="Verdana" w:cs="Times New Roman"/>
          <w:bCs/>
          <w:sz w:val="18"/>
          <w:szCs w:val="18"/>
          <w:lang w:eastAsia="es-ES"/>
        </w:rPr>
      </w:pPr>
      <w:r w:rsidRPr="00AF7C98">
        <w:rPr>
          <w:rFonts w:ascii="Verdana" w:eastAsia="Times New Roman" w:hAnsi="Verdana" w:cs="Times New Roman"/>
          <w:bCs/>
          <w:sz w:val="18"/>
          <w:szCs w:val="18"/>
          <w:lang w:eastAsia="es-ES"/>
        </w:rPr>
        <w:t xml:space="preserve">Tabla 2. Índices de citación de las revistas nacionales en </w:t>
      </w:r>
      <w:r w:rsidRPr="00AF7C98">
        <w:rPr>
          <w:rFonts w:ascii="Verdana" w:eastAsia="Times New Roman" w:hAnsi="Verdana" w:cs="Times New Roman"/>
          <w:bCs/>
          <w:i/>
          <w:sz w:val="18"/>
          <w:szCs w:val="18"/>
          <w:lang w:eastAsia="es-ES"/>
        </w:rPr>
        <w:t>Medicina</w:t>
      </w:r>
      <w:r w:rsidRPr="00AF7C98">
        <w:rPr>
          <w:rFonts w:ascii="Verdana" w:eastAsia="Times New Roman" w:hAnsi="Verdana" w:cs="Times New Roman"/>
          <w:bCs/>
          <w:sz w:val="18"/>
          <w:szCs w:val="18"/>
          <w:lang w:eastAsia="es-ES"/>
        </w:rPr>
        <w:t xml:space="preserve">, </w:t>
      </w:r>
      <w:r w:rsidRPr="00AF7C98">
        <w:rPr>
          <w:rFonts w:ascii="Verdana" w:eastAsia="Times New Roman" w:hAnsi="Verdana" w:cs="Times New Roman"/>
          <w:bCs/>
          <w:i/>
          <w:sz w:val="18"/>
          <w:szCs w:val="18"/>
          <w:lang w:eastAsia="es-ES"/>
        </w:rPr>
        <w:t>Scopus</w:t>
      </w:r>
      <w:r w:rsidRPr="00AF7C98">
        <w:rPr>
          <w:rFonts w:ascii="Verdana" w:eastAsia="Times New Roman" w:hAnsi="Verdana" w:cs="Times New Roman"/>
          <w:bCs/>
          <w:sz w:val="18"/>
          <w:szCs w:val="18"/>
          <w:lang w:eastAsia="es-ES"/>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341"/>
        <w:gridCol w:w="1454"/>
        <w:gridCol w:w="1496"/>
        <w:gridCol w:w="1411"/>
        <w:gridCol w:w="1549"/>
      </w:tblGrid>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País</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Total de citas</w:t>
            </w:r>
          </w:p>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(A)</w:t>
            </w:r>
          </w:p>
        </w:tc>
        <w:tc>
          <w:tcPr>
            <w:tcW w:w="1454" w:type="dxa"/>
            <w:shd w:val="clear" w:color="auto" w:fill="auto"/>
          </w:tcPr>
          <w:p w:rsidR="00AF7C98" w:rsidRPr="00AF7C98" w:rsidRDefault="00AF7C98" w:rsidP="00AF7C98">
            <w:pPr>
              <w:spacing w:after="0" w:line="240" w:lineRule="auto"/>
              <w:ind w:firstLine="108"/>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Total de artículos citables</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(B)</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Promedio de citas</w:t>
            </w:r>
          </w:p>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(C)</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Posición en la clasificación</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(D)</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Total de revistas nacionales</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(E)</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Brazil</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16550</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20890</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0,79</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27</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90</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México</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1698</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4552</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0,37</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28</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28</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Argentina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513</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2422</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0,21</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21</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20</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Chile</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1185</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3251</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0,36</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24</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15</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Colombia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392</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1651</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0,23</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22</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13</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Venezuela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225</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1112</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0,20</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26</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12</w:t>
            </w:r>
          </w:p>
        </w:tc>
      </w:tr>
      <w:tr w:rsidR="00AF7C98" w:rsidRPr="00AF7C98" w:rsidTr="00160C50">
        <w:tc>
          <w:tcPr>
            <w:tcW w:w="1469"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Cuba</w:t>
            </w:r>
          </w:p>
        </w:tc>
        <w:tc>
          <w:tcPr>
            <w:tcW w:w="134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110</w:t>
            </w:r>
          </w:p>
        </w:tc>
        <w:tc>
          <w:tcPr>
            <w:tcW w:w="1454"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2041</w:t>
            </w:r>
          </w:p>
        </w:tc>
        <w:tc>
          <w:tcPr>
            <w:tcW w:w="1496"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0,05</w:t>
            </w:r>
          </w:p>
        </w:tc>
        <w:tc>
          <w:tcPr>
            <w:tcW w:w="1411"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44</w:t>
            </w:r>
          </w:p>
        </w:tc>
        <w:tc>
          <w:tcPr>
            <w:tcW w:w="1549" w:type="dxa"/>
            <w:shd w:val="clear" w:color="auto" w:fill="auto"/>
          </w:tcPr>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16</w:t>
            </w:r>
          </w:p>
        </w:tc>
      </w:tr>
    </w:tbl>
    <w:p w:rsidR="00AF7C98" w:rsidRPr="00AF7C98" w:rsidRDefault="00AF7C98" w:rsidP="00AF7C98">
      <w:pPr>
        <w:spacing w:after="0" w:line="240" w:lineRule="auto"/>
        <w:ind w:left="-108" w:firstLine="108"/>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A: Total de citas recibidas en 2013 por los artículos publicados entre 2010 y 2012.</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B: Total de artículos originales, de revisión y materiales de conferencia publicados entre 2010 y 2012.</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C: Promedio de citas en 2013 a los artículos citables publicados entre 2010 y 2012.</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D: Según el número de citas promedio recibidas por los documentos publicados entre 1996 y 2013.</w:t>
      </w:r>
    </w:p>
    <w:p w:rsidR="00AF7C98" w:rsidRPr="00AF7C98" w:rsidRDefault="00AF7C98" w:rsidP="00AF7C98">
      <w:pPr>
        <w:spacing w:after="0" w:line="240" w:lineRule="auto"/>
        <w:jc w:val="center"/>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 xml:space="preserve">E: Procesadas en la categoría </w:t>
      </w:r>
      <w:r w:rsidRPr="00AF7C98">
        <w:rPr>
          <w:rFonts w:ascii="Verdana" w:eastAsia="Times New Roman" w:hAnsi="Verdana" w:cs="Times New Roman"/>
          <w:i/>
          <w:sz w:val="18"/>
          <w:szCs w:val="18"/>
          <w:lang w:eastAsia="es-ES"/>
        </w:rPr>
        <w:t>Medicina</w:t>
      </w:r>
      <w:r w:rsidRPr="00AF7C98">
        <w:rPr>
          <w:rFonts w:ascii="Verdana" w:eastAsia="Times New Roman" w:hAnsi="Verdana" w:cs="Times New Roman"/>
          <w:sz w:val="18"/>
          <w:szCs w:val="18"/>
          <w:lang w:eastAsia="es-ES"/>
        </w:rPr>
        <w:t xml:space="preserve"> por </w:t>
      </w:r>
      <w:r w:rsidRPr="00AF7C98">
        <w:rPr>
          <w:rFonts w:ascii="Verdana" w:eastAsia="Times New Roman" w:hAnsi="Verdana" w:cs="Times New Roman"/>
          <w:i/>
          <w:sz w:val="18"/>
          <w:szCs w:val="18"/>
          <w:lang w:eastAsia="es-ES"/>
        </w:rPr>
        <w:t>Scopus</w:t>
      </w:r>
      <w:r w:rsidRPr="00AF7C98">
        <w:rPr>
          <w:rFonts w:ascii="Verdana" w:eastAsia="Times New Roman" w:hAnsi="Verdana" w:cs="Times New Roman"/>
          <w:sz w:val="18"/>
          <w:szCs w:val="18"/>
          <w:lang w:eastAsia="es-ES"/>
        </w:rPr>
        <w:t>.</w:t>
      </w:r>
    </w:p>
    <w:p w:rsidR="00AF7C98" w:rsidRPr="00AF7C98" w:rsidRDefault="00AF7C98" w:rsidP="00AF7C98">
      <w:pPr>
        <w:spacing w:after="0" w:line="240" w:lineRule="auto"/>
        <w:jc w:val="center"/>
        <w:rPr>
          <w:rFonts w:ascii="Verdana" w:eastAsia="Times New Roman" w:hAnsi="Verdana" w:cs="Times New Roman"/>
          <w:sz w:val="18"/>
          <w:szCs w:val="18"/>
          <w:lang w:val="en-GB" w:eastAsia="es-ES"/>
        </w:rPr>
      </w:pPr>
      <w:r w:rsidRPr="00AF7C98">
        <w:rPr>
          <w:rFonts w:ascii="Verdana" w:eastAsia="Times New Roman" w:hAnsi="Verdana" w:cs="Times New Roman"/>
          <w:sz w:val="18"/>
          <w:szCs w:val="18"/>
          <w:lang w:val="en-GB" w:eastAsia="es-ES"/>
        </w:rPr>
        <w:t xml:space="preserve">Fuente: </w:t>
      </w:r>
      <w:r w:rsidRPr="00AF7C98">
        <w:rPr>
          <w:rFonts w:ascii="Verdana" w:eastAsia="Times New Roman" w:hAnsi="Verdana" w:cs="Times New Roman"/>
          <w:i/>
          <w:sz w:val="18"/>
          <w:szCs w:val="18"/>
          <w:lang w:val="en-GB" w:eastAsia="es-ES"/>
        </w:rPr>
        <w:t>SCImago Journal &amp; Country Rank</w:t>
      </w:r>
      <w:r w:rsidRPr="00AF7C98">
        <w:rPr>
          <w:rFonts w:ascii="Verdana" w:eastAsia="Times New Roman" w:hAnsi="Verdana" w:cs="Times New Roman"/>
          <w:sz w:val="18"/>
          <w:szCs w:val="18"/>
          <w:lang w:val="en-GB" w:eastAsia="es-ES"/>
        </w:rPr>
        <w:t>, 16 de octubre de 2013.</w:t>
      </w:r>
    </w:p>
    <w:p w:rsidR="00AF7C98" w:rsidRPr="00AF7C98" w:rsidRDefault="00AF7C98" w:rsidP="00AF7C98">
      <w:pPr>
        <w:spacing w:after="0" w:line="360" w:lineRule="auto"/>
        <w:jc w:val="both"/>
        <w:outlineLvl w:val="1"/>
        <w:rPr>
          <w:rFonts w:ascii="Verdana" w:eastAsia="Times New Roman" w:hAnsi="Verdana" w:cs="Times New Roman"/>
          <w:b/>
          <w:sz w:val="20"/>
          <w:szCs w:val="20"/>
          <w:lang w:val="en-US" w:eastAsia="es-ES"/>
        </w:rPr>
      </w:pPr>
    </w:p>
    <w:p w:rsidR="00AF7C98" w:rsidRPr="00AF7C98" w:rsidRDefault="00AF7C98" w:rsidP="00AF7C98">
      <w:pPr>
        <w:spacing w:after="0" w:line="360" w:lineRule="auto"/>
        <w:jc w:val="both"/>
        <w:outlineLvl w:val="1"/>
        <w:rPr>
          <w:rFonts w:ascii="Verdana" w:eastAsia="Times New Roman" w:hAnsi="Verdana" w:cs="Times New Roman"/>
          <w:b/>
          <w:sz w:val="20"/>
          <w:szCs w:val="20"/>
          <w:lang w:val="en-US" w:eastAsia="es-ES"/>
        </w:rPr>
      </w:pPr>
      <w:r w:rsidRPr="00AF7C98">
        <w:rPr>
          <w:rFonts w:ascii="Verdana" w:eastAsia="Times New Roman" w:hAnsi="Verdana" w:cs="Times New Roman"/>
          <w:b/>
          <w:sz w:val="20"/>
          <w:szCs w:val="20"/>
          <w:lang w:val="en-US" w:eastAsia="es-ES"/>
        </w:rPr>
        <w:t xml:space="preserve"> </w:t>
      </w:r>
    </w:p>
    <w:p w:rsidR="006C541F" w:rsidRPr="0029722D" w:rsidRDefault="006C541F" w:rsidP="00AF7C98">
      <w:pPr>
        <w:spacing w:after="0" w:line="360" w:lineRule="auto"/>
        <w:jc w:val="both"/>
        <w:rPr>
          <w:rFonts w:ascii="Verdana" w:eastAsia="Times New Roman" w:hAnsi="Verdana" w:cs="Times New Roman"/>
          <w:bCs/>
          <w:sz w:val="20"/>
          <w:szCs w:val="20"/>
          <w:lang w:val="en-US" w:eastAsia="es-ES"/>
        </w:rPr>
        <w:sectPr w:rsidR="006C541F" w:rsidRPr="0029722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 xml:space="preserve">Las naciones con infraestructura editorial propia alcanzaron los mayores niveles de producción científica procesada por </w:t>
      </w:r>
      <w:r w:rsidRPr="00AF7C98">
        <w:rPr>
          <w:rFonts w:ascii="Verdana" w:eastAsia="Times New Roman" w:hAnsi="Verdana" w:cs="Times New Roman"/>
          <w:bCs/>
          <w:i/>
          <w:iCs/>
          <w:sz w:val="20"/>
          <w:szCs w:val="20"/>
          <w:lang w:eastAsia="es-ES"/>
        </w:rPr>
        <w:t>Scopus</w:t>
      </w:r>
      <w:r w:rsidRPr="00AF7C98">
        <w:rPr>
          <w:rFonts w:ascii="Verdana" w:eastAsia="Times New Roman" w:hAnsi="Verdana" w:cs="Times New Roman"/>
          <w:bCs/>
          <w:sz w:val="20"/>
          <w:szCs w:val="20"/>
          <w:lang w:eastAsia="es-ES"/>
        </w:rPr>
        <w:t xml:space="preserve">. Sin embargo, sus posiciones en la clasificación según </w:t>
      </w:r>
      <w:r w:rsidRPr="00AF7C98">
        <w:rPr>
          <w:rFonts w:ascii="Verdana" w:eastAsia="Times New Roman" w:hAnsi="Verdana" w:cs="Times New Roman"/>
          <w:sz w:val="20"/>
          <w:szCs w:val="20"/>
          <w:lang w:eastAsia="es-ES"/>
        </w:rPr>
        <w:t>el número promedio de citas recibidas por los documentos publicados entre 1996 y 2013</w:t>
      </w:r>
      <w:r w:rsidRPr="00AF7C98">
        <w:rPr>
          <w:rFonts w:ascii="Verdana" w:eastAsia="Times New Roman" w:hAnsi="Verdana" w:cs="Times New Roman"/>
          <w:bCs/>
          <w:sz w:val="20"/>
          <w:szCs w:val="20"/>
          <w:lang w:eastAsia="es-ES"/>
        </w:rPr>
        <w:t xml:space="preserve">, no fueron en nada aventajadas. Argentina, por ejemplo, el primer país, ocupa el lugar 21 en la clasificación. </w:t>
      </w: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t xml:space="preserve">La mayor parte de los países, naciones e islas de la región de América Latina y el Caribe carecen de una infraestructura editorial propia, entre los 48 países, naciones e islas </w:t>
      </w:r>
      <w:r w:rsidRPr="00AF7C98">
        <w:rPr>
          <w:rFonts w:ascii="Verdana" w:eastAsia="Times New Roman" w:hAnsi="Verdana" w:cs="Times New Roman"/>
          <w:bCs/>
          <w:sz w:val="20"/>
          <w:szCs w:val="20"/>
          <w:lang w:eastAsia="es-ES"/>
        </w:rPr>
        <w:lastRenderedPageBreak/>
        <w:t xml:space="preserve">productores de contribuciones en </w:t>
      </w:r>
      <w:r w:rsidRPr="00AF7C98">
        <w:rPr>
          <w:rFonts w:ascii="Verdana" w:eastAsia="Times New Roman" w:hAnsi="Verdana" w:cs="Times New Roman"/>
          <w:bCs/>
          <w:i/>
          <w:sz w:val="20"/>
          <w:szCs w:val="20"/>
          <w:lang w:eastAsia="es-ES"/>
        </w:rPr>
        <w:t>Medicina</w:t>
      </w:r>
      <w:r w:rsidRPr="00AF7C98">
        <w:rPr>
          <w:rFonts w:ascii="Verdana" w:eastAsia="Times New Roman" w:hAnsi="Verdana" w:cs="Times New Roman"/>
          <w:bCs/>
          <w:sz w:val="20"/>
          <w:szCs w:val="20"/>
          <w:lang w:eastAsia="es-ES"/>
        </w:rPr>
        <w:t>, 37 no poseen revista propia alguna, dos poseen una (</w:t>
      </w:r>
      <w:r w:rsidRPr="00AF7C98">
        <w:rPr>
          <w:rFonts w:ascii="Verdana" w:eastAsia="Times New Roman" w:hAnsi="Verdana" w:cs="Times New Roman"/>
          <w:bCs/>
          <w:kern w:val="36"/>
          <w:sz w:val="20"/>
          <w:szCs w:val="20"/>
          <w:lang w:eastAsia="es-ES"/>
        </w:rPr>
        <w:t xml:space="preserve">Ecuador, </w:t>
      </w:r>
      <w:r w:rsidRPr="00AF7C98">
        <w:rPr>
          <w:rFonts w:ascii="Verdana" w:eastAsia="Times New Roman" w:hAnsi="Verdana" w:cs="Times New Roman"/>
          <w:bCs/>
          <w:i/>
          <w:kern w:val="36"/>
          <w:sz w:val="20"/>
          <w:szCs w:val="20"/>
          <w:lang w:eastAsia="es-ES"/>
        </w:rPr>
        <w:t>Revista Ecuatoriana de Neurología</w:t>
      </w:r>
      <w:r w:rsidRPr="00AF7C98">
        <w:rPr>
          <w:rFonts w:ascii="Verdana" w:eastAsia="Times New Roman" w:hAnsi="Verdana" w:cs="Times New Roman"/>
          <w:bCs/>
          <w:kern w:val="36"/>
          <w:sz w:val="20"/>
          <w:szCs w:val="20"/>
          <w:lang w:eastAsia="es-ES"/>
        </w:rPr>
        <w:t xml:space="preserve"> y Jamaica, </w:t>
      </w:r>
      <w:r w:rsidRPr="00AF7C98">
        <w:rPr>
          <w:rFonts w:ascii="Verdana" w:eastAsia="Times New Roman" w:hAnsi="Verdana" w:cs="Times New Roman"/>
          <w:bCs/>
          <w:i/>
          <w:kern w:val="36"/>
          <w:sz w:val="20"/>
          <w:szCs w:val="20"/>
          <w:lang w:eastAsia="es-ES"/>
        </w:rPr>
        <w:t>West Indian Medical Journal</w:t>
      </w:r>
      <w:r w:rsidRPr="00AF7C98">
        <w:rPr>
          <w:rFonts w:ascii="Verdana" w:eastAsia="Times New Roman" w:hAnsi="Verdana" w:cs="Times New Roman"/>
          <w:bCs/>
          <w:kern w:val="36"/>
          <w:sz w:val="20"/>
          <w:szCs w:val="20"/>
          <w:lang w:eastAsia="es-ES"/>
        </w:rPr>
        <w:t xml:space="preserve">), un </w:t>
      </w:r>
      <w:r w:rsidRPr="00AF7C98">
        <w:rPr>
          <w:rFonts w:ascii="Verdana" w:eastAsia="Times New Roman" w:hAnsi="Verdana" w:cs="Times New Roman"/>
          <w:bCs/>
          <w:sz w:val="20"/>
          <w:szCs w:val="20"/>
          <w:lang w:eastAsia="es-ES"/>
        </w:rPr>
        <w:t>país posee dos (</w:t>
      </w:r>
      <w:r w:rsidRPr="00AF7C98">
        <w:rPr>
          <w:rFonts w:ascii="Verdana" w:eastAsia="Times New Roman" w:hAnsi="Verdana" w:cs="Times New Roman"/>
          <w:bCs/>
          <w:kern w:val="36"/>
          <w:sz w:val="20"/>
          <w:szCs w:val="20"/>
          <w:lang w:eastAsia="es-ES"/>
        </w:rPr>
        <w:t xml:space="preserve">Perú, </w:t>
      </w:r>
      <w:r w:rsidRPr="00AF7C98">
        <w:rPr>
          <w:rFonts w:ascii="Verdana" w:eastAsia="Times New Roman" w:hAnsi="Verdana" w:cs="Times New Roman"/>
          <w:bCs/>
          <w:i/>
          <w:kern w:val="36"/>
          <w:sz w:val="20"/>
          <w:szCs w:val="20"/>
          <w:lang w:eastAsia="es-ES"/>
        </w:rPr>
        <w:t>Revista Peruana de Medicina de Experimental y Salud Pública</w:t>
      </w:r>
      <w:r w:rsidRPr="00AF7C98">
        <w:rPr>
          <w:rFonts w:ascii="Verdana" w:eastAsia="Times New Roman" w:hAnsi="Verdana" w:cs="Times New Roman"/>
          <w:bCs/>
          <w:kern w:val="36"/>
          <w:sz w:val="20"/>
          <w:szCs w:val="20"/>
          <w:lang w:eastAsia="es-ES"/>
        </w:rPr>
        <w:t xml:space="preserve">, y </w:t>
      </w:r>
      <w:r w:rsidRPr="00AF7C98">
        <w:rPr>
          <w:rFonts w:ascii="Verdana" w:eastAsia="Times New Roman" w:hAnsi="Verdana" w:cs="Times New Roman"/>
          <w:bCs/>
          <w:i/>
          <w:kern w:val="36"/>
          <w:sz w:val="20"/>
          <w:szCs w:val="20"/>
          <w:lang w:eastAsia="es-ES"/>
        </w:rPr>
        <w:t>Revista de Gastroenterología del Perú: órgano oficial de la Sociedad de Gastroenterología del Perú</w:t>
      </w:r>
      <w:r w:rsidRPr="00AF7C98">
        <w:rPr>
          <w:rFonts w:ascii="Verdana" w:eastAsia="Times New Roman" w:hAnsi="Verdana" w:cs="Times New Roman"/>
          <w:bCs/>
          <w:kern w:val="36"/>
          <w:sz w:val="20"/>
          <w:szCs w:val="20"/>
          <w:lang w:eastAsia="es-ES"/>
        </w:rPr>
        <w:t xml:space="preserve">), y solo uno publica tres (Puerto Rico, </w:t>
      </w:r>
      <w:r w:rsidRPr="00AF7C98">
        <w:rPr>
          <w:rFonts w:ascii="Verdana" w:eastAsia="Times New Roman" w:hAnsi="Verdana" w:cs="Times New Roman"/>
          <w:bCs/>
          <w:i/>
          <w:kern w:val="36"/>
          <w:sz w:val="20"/>
          <w:szCs w:val="20"/>
          <w:lang w:eastAsia="es-ES"/>
        </w:rPr>
        <w:t>Puerto Rico Health Sciences Journal</w:t>
      </w:r>
      <w:r w:rsidRPr="00AF7C98">
        <w:rPr>
          <w:rFonts w:ascii="Verdana" w:eastAsia="Times New Roman" w:hAnsi="Verdana" w:cs="Times New Roman"/>
          <w:bCs/>
          <w:kern w:val="36"/>
          <w:sz w:val="20"/>
          <w:szCs w:val="20"/>
          <w:lang w:eastAsia="es-ES"/>
        </w:rPr>
        <w:t xml:space="preserve">, </w:t>
      </w:r>
      <w:r w:rsidRPr="00AF7C98">
        <w:rPr>
          <w:rFonts w:ascii="Verdana" w:eastAsia="Times New Roman" w:hAnsi="Verdana" w:cs="Times New Roman"/>
          <w:bCs/>
          <w:i/>
          <w:kern w:val="36"/>
          <w:sz w:val="20"/>
          <w:szCs w:val="20"/>
          <w:lang w:eastAsia="es-ES"/>
        </w:rPr>
        <w:t>Caribbean Studies</w:t>
      </w:r>
      <w:r w:rsidRPr="00AF7C98">
        <w:rPr>
          <w:rFonts w:ascii="Verdana" w:eastAsia="Times New Roman" w:hAnsi="Verdana" w:cs="Times New Roman"/>
          <w:bCs/>
          <w:kern w:val="36"/>
          <w:sz w:val="20"/>
          <w:szCs w:val="20"/>
          <w:lang w:eastAsia="es-ES"/>
        </w:rPr>
        <w:t xml:space="preserve">, y </w:t>
      </w:r>
      <w:r w:rsidRPr="00AF7C98">
        <w:rPr>
          <w:rFonts w:ascii="Verdana" w:eastAsia="Times New Roman" w:hAnsi="Verdana" w:cs="Times New Roman"/>
          <w:bCs/>
          <w:i/>
          <w:kern w:val="36"/>
          <w:sz w:val="20"/>
          <w:szCs w:val="20"/>
          <w:lang w:eastAsia="es-ES"/>
        </w:rPr>
        <w:t>Asociación Médica de Puerto Rico)</w:t>
      </w:r>
      <w:r w:rsidRPr="00AF7C98">
        <w:rPr>
          <w:rFonts w:ascii="Verdana" w:eastAsia="Times New Roman" w:hAnsi="Verdana" w:cs="Times New Roman"/>
          <w:bCs/>
          <w:i/>
          <w:sz w:val="20"/>
          <w:szCs w:val="20"/>
          <w:lang w:eastAsia="es-ES"/>
        </w:rPr>
        <w:t>.</w:t>
      </w:r>
      <w:r w:rsidRPr="00AF7C98">
        <w:rPr>
          <w:rFonts w:ascii="Verdana" w:eastAsia="Times New Roman" w:hAnsi="Verdana" w:cs="Times New Roman"/>
          <w:bCs/>
          <w:sz w:val="20"/>
          <w:szCs w:val="20"/>
          <w:vertAlign w:val="superscript"/>
          <w:lang w:eastAsia="es-ES"/>
        </w:rPr>
        <w:t>6</w:t>
      </w:r>
      <w:r w:rsidRPr="00AF7C98">
        <w:rPr>
          <w:rFonts w:ascii="Verdana" w:eastAsia="Times New Roman" w:hAnsi="Verdana" w:cs="Times New Roman"/>
          <w:bCs/>
          <w:i/>
          <w:sz w:val="20"/>
          <w:szCs w:val="20"/>
          <w:lang w:eastAsia="es-ES"/>
        </w:rPr>
        <w:t xml:space="preserve"> </w:t>
      </w:r>
    </w:p>
    <w:p w:rsidR="00AF7C98" w:rsidRPr="00AF7C98" w:rsidRDefault="00AF7C98" w:rsidP="00AF7C98">
      <w:pPr>
        <w:spacing w:after="0" w:line="360" w:lineRule="auto"/>
        <w:jc w:val="both"/>
        <w:rPr>
          <w:rFonts w:ascii="Verdana" w:eastAsia="Times New Roman" w:hAnsi="Verdana" w:cs="Times New Roman"/>
          <w:bCs/>
          <w:sz w:val="20"/>
          <w:szCs w:val="20"/>
          <w:lang w:eastAsia="es-ES"/>
        </w:rPr>
      </w:pPr>
    </w:p>
    <w:p w:rsidR="00AF7C98" w:rsidRPr="00AF7C98" w:rsidRDefault="00AF7C98" w:rsidP="00AF7C98">
      <w:pPr>
        <w:spacing w:after="0" w:line="360" w:lineRule="auto"/>
        <w:jc w:val="both"/>
        <w:rPr>
          <w:rFonts w:ascii="Verdana" w:eastAsia="Times New Roman" w:hAnsi="Verdana" w:cs="Times New Roman"/>
          <w:bCs/>
          <w:color w:val="FF0000"/>
          <w:sz w:val="20"/>
          <w:szCs w:val="20"/>
          <w:lang w:eastAsia="es-ES"/>
        </w:rPr>
      </w:pPr>
      <w:r w:rsidRPr="00AF7C98">
        <w:rPr>
          <w:rFonts w:ascii="Verdana" w:eastAsia="Times New Roman" w:hAnsi="Verdana" w:cs="Times New Roman"/>
          <w:bCs/>
          <w:sz w:val="20"/>
          <w:szCs w:val="20"/>
          <w:lang w:eastAsia="es-ES"/>
        </w:rPr>
        <w:t xml:space="preserve">Entre los 20 países con mayores promedios de citación por </w:t>
      </w:r>
      <w:r w:rsidRPr="00AF7C98">
        <w:rPr>
          <w:rFonts w:ascii="Verdana" w:eastAsia="Times New Roman" w:hAnsi="Verdana" w:cs="Times New Roman"/>
          <w:bCs/>
          <w:sz w:val="20"/>
          <w:szCs w:val="20"/>
          <w:lang w:eastAsia="es-ES"/>
        </w:rPr>
        <w:lastRenderedPageBreak/>
        <w:t xml:space="preserve">contribución publicada entre 1996 y 2013, solo estos tres países poseen revistas propias en </w:t>
      </w:r>
      <w:r w:rsidRPr="00AF7C98">
        <w:rPr>
          <w:rFonts w:ascii="Verdana" w:eastAsia="Times New Roman" w:hAnsi="Verdana" w:cs="Times New Roman"/>
          <w:bCs/>
          <w:i/>
          <w:sz w:val="20"/>
          <w:szCs w:val="20"/>
          <w:lang w:eastAsia="es-ES"/>
        </w:rPr>
        <w:t>Medicina</w:t>
      </w:r>
      <w:r w:rsidRPr="00AF7C98">
        <w:rPr>
          <w:rFonts w:ascii="Verdana" w:eastAsia="Times New Roman" w:hAnsi="Verdana" w:cs="Times New Roman"/>
          <w:bCs/>
          <w:sz w:val="20"/>
          <w:szCs w:val="20"/>
          <w:lang w:eastAsia="es-ES"/>
        </w:rPr>
        <w:t xml:space="preserve">, 17 no poseen revista propia alguna en esta categoría. El primer país en la clasificación es Argentina, y ello parece deberse a sus </w:t>
      </w:r>
      <w:r w:rsidRPr="00AF7C98">
        <w:rPr>
          <w:rFonts w:ascii="Verdana" w:eastAsia="Times New Roman" w:hAnsi="Verdana" w:cs="Times New Roman"/>
          <w:sz w:val="20"/>
          <w:szCs w:val="20"/>
          <w:lang w:eastAsia="es-ES"/>
        </w:rPr>
        <w:t>tendencias históricas a la publicación en revistas extranjeras, en idioma inglés y con altos índices de colaboración internacional.</w:t>
      </w:r>
      <w:r w:rsidRPr="00AF7C98">
        <w:rPr>
          <w:rFonts w:ascii="Verdana" w:eastAsia="Times New Roman" w:hAnsi="Verdana" w:cs="Times New Roman"/>
          <w:b/>
          <w:sz w:val="20"/>
          <w:szCs w:val="20"/>
          <w:lang w:eastAsia="es-ES"/>
        </w:rPr>
        <w:t xml:space="preserve">  </w:t>
      </w:r>
    </w:p>
    <w:p w:rsidR="006C541F" w:rsidRDefault="006C541F" w:rsidP="00AF7C98">
      <w:pPr>
        <w:spacing w:after="0" w:line="360" w:lineRule="auto"/>
        <w:jc w:val="both"/>
        <w:outlineLvl w:val="1"/>
        <w:rPr>
          <w:rFonts w:ascii="Verdana" w:eastAsia="Times New Roman" w:hAnsi="Verdana" w:cs="Times New Roman"/>
          <w:b/>
          <w:bCs/>
          <w:sz w:val="20"/>
          <w:szCs w:val="20"/>
          <w:lang w:eastAsia="es-ES"/>
        </w:rPr>
      </w:pPr>
    </w:p>
    <w:p w:rsidR="00AF7C98" w:rsidRPr="00AF7C98" w:rsidRDefault="00AF7C98" w:rsidP="00AF7C98">
      <w:pPr>
        <w:spacing w:after="0" w:line="360" w:lineRule="auto"/>
        <w:jc w:val="both"/>
        <w:outlineLvl w:val="1"/>
        <w:rPr>
          <w:rFonts w:ascii="Verdana" w:eastAsia="Times New Roman" w:hAnsi="Verdana" w:cs="Times New Roman"/>
          <w:b/>
          <w:bCs/>
          <w:sz w:val="20"/>
          <w:szCs w:val="20"/>
          <w:lang w:eastAsia="es-ES"/>
        </w:rPr>
      </w:pPr>
      <w:r w:rsidRPr="00AF7C98">
        <w:rPr>
          <w:rFonts w:ascii="Verdana" w:eastAsia="Times New Roman" w:hAnsi="Verdana" w:cs="Times New Roman"/>
          <w:b/>
          <w:bCs/>
          <w:sz w:val="20"/>
          <w:szCs w:val="20"/>
          <w:lang w:eastAsia="es-ES"/>
        </w:rPr>
        <w:t>Índices de citación según revistas nacionales y extranjeras</w:t>
      </w:r>
    </w:p>
    <w:p w:rsidR="006C541F" w:rsidRDefault="00AF7C98" w:rsidP="00AF7C98">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 xml:space="preserve">En relación con los índices de citación de las contribuciones publicadas en revistas nacionales y extranjeras en </w:t>
      </w:r>
      <w:r w:rsidRPr="00AF7C98">
        <w:rPr>
          <w:rFonts w:ascii="Verdana" w:eastAsia="Times New Roman" w:hAnsi="Verdana" w:cs="Times New Roman"/>
          <w:bCs/>
          <w:i/>
          <w:sz w:val="20"/>
          <w:szCs w:val="20"/>
          <w:lang w:eastAsia="es-ES"/>
        </w:rPr>
        <w:t>Ciencias de la salud</w:t>
      </w:r>
      <w:r w:rsidRPr="00AF7C98">
        <w:rPr>
          <w:rFonts w:ascii="Verdana" w:eastAsia="Times New Roman" w:hAnsi="Verdana" w:cs="Times New Roman"/>
          <w:bCs/>
          <w:sz w:val="20"/>
          <w:szCs w:val="20"/>
          <w:lang w:eastAsia="es-ES"/>
        </w:rPr>
        <w:t>, se apreciaron diferencias notables del n</w:t>
      </w:r>
      <w:r w:rsidRPr="00AF7C98">
        <w:rPr>
          <w:rFonts w:ascii="Verdana" w:eastAsia="Times New Roman" w:hAnsi="Verdana" w:cs="Times New Roman"/>
          <w:bCs/>
          <w:kern w:val="36"/>
          <w:sz w:val="20"/>
          <w:szCs w:val="20"/>
          <w:lang w:eastAsia="es-ES"/>
        </w:rPr>
        <w:t>úmero mínimo de citas en los 13 rangos</w:t>
      </w:r>
      <w:r w:rsidRPr="00AF7C98">
        <w:rPr>
          <w:rFonts w:ascii="Verdana" w:eastAsia="Times New Roman" w:hAnsi="Verdana" w:cs="Times New Roman"/>
          <w:bCs/>
          <w:sz w:val="20"/>
          <w:szCs w:val="20"/>
          <w:lang w:eastAsia="es-ES"/>
        </w:rPr>
        <w:t xml:space="preserve"> analizados. </w:t>
      </w:r>
    </w:p>
    <w:p w:rsidR="006C541F" w:rsidRDefault="006C541F" w:rsidP="00AF7C98">
      <w:pPr>
        <w:spacing w:after="0" w:line="360" w:lineRule="auto"/>
        <w:jc w:val="both"/>
        <w:outlineLvl w:val="1"/>
        <w:rPr>
          <w:rFonts w:ascii="Verdana" w:eastAsia="Times New Roman" w:hAnsi="Verdana" w:cs="Times New Roman"/>
          <w:bCs/>
          <w:sz w:val="20"/>
          <w:szCs w:val="20"/>
          <w:lang w:eastAsia="es-ES"/>
        </w:rPr>
      </w:pPr>
    </w:p>
    <w:p w:rsidR="00AF7C98" w:rsidRPr="00AF7C98" w:rsidRDefault="006C541F" w:rsidP="00AF7C98">
      <w:pPr>
        <w:spacing w:after="0" w:line="360" w:lineRule="auto"/>
        <w:jc w:val="both"/>
        <w:outlineLvl w:val="1"/>
        <w:rPr>
          <w:rFonts w:ascii="Verdana" w:eastAsia="Times New Roman" w:hAnsi="Verdana" w:cs="Times New Roman"/>
          <w:bCs/>
          <w:sz w:val="20"/>
          <w:szCs w:val="20"/>
          <w:lang w:eastAsia="es-ES"/>
        </w:rPr>
      </w:pPr>
      <w:r>
        <w:rPr>
          <w:rFonts w:ascii="Verdana" w:eastAsia="Times New Roman" w:hAnsi="Verdana" w:cs="Times New Roman"/>
          <w:bCs/>
          <w:sz w:val="20"/>
          <w:szCs w:val="20"/>
          <w:lang w:eastAsia="es-ES"/>
        </w:rPr>
        <w:t>U</w:t>
      </w:r>
      <w:r w:rsidR="00AF7C98" w:rsidRPr="00AF7C98">
        <w:rPr>
          <w:rFonts w:ascii="Verdana" w:eastAsia="Times New Roman" w:hAnsi="Verdana" w:cs="Times New Roman"/>
          <w:bCs/>
          <w:sz w:val="20"/>
          <w:szCs w:val="20"/>
          <w:lang w:eastAsia="es-ES"/>
        </w:rPr>
        <w:t xml:space="preserve">n detalle puede ilustrar muy bien la situación en el caso de </w:t>
      </w:r>
      <w:r w:rsidR="00AF7C98" w:rsidRPr="00AF7C98">
        <w:rPr>
          <w:rFonts w:ascii="Verdana" w:eastAsia="Times New Roman" w:hAnsi="Verdana" w:cs="Times New Roman"/>
          <w:bCs/>
          <w:i/>
          <w:sz w:val="20"/>
          <w:szCs w:val="20"/>
          <w:lang w:eastAsia="es-ES"/>
        </w:rPr>
        <w:t>Ciencias de la salud</w:t>
      </w:r>
      <w:r w:rsidR="00AF7C98" w:rsidRPr="00AF7C98">
        <w:rPr>
          <w:rFonts w:ascii="Verdana" w:eastAsia="Times New Roman" w:hAnsi="Verdana" w:cs="Times New Roman"/>
          <w:bCs/>
          <w:sz w:val="20"/>
          <w:szCs w:val="20"/>
          <w:lang w:eastAsia="es-ES"/>
        </w:rPr>
        <w:t>, el número mínimo de citas recibidas por el octavo rango de las revistas extranjeras (801-1000) coincide con el primer rango de las revistas nacionales (</w:t>
      </w:r>
      <w:r w:rsidR="00AF7C98" w:rsidRPr="00AF7C98">
        <w:rPr>
          <w:rFonts w:ascii="Verdana" w:eastAsia="Times New Roman" w:hAnsi="Verdana" w:cs="Times New Roman"/>
          <w:bCs/>
          <w:kern w:val="36"/>
          <w:sz w:val="20"/>
          <w:szCs w:val="20"/>
          <w:lang w:eastAsia="es-ES"/>
        </w:rPr>
        <w:t>≤20</w:t>
      </w:r>
      <w:r w:rsidR="00AF7C98" w:rsidRPr="00AF7C98">
        <w:rPr>
          <w:rFonts w:ascii="Verdana" w:eastAsia="Times New Roman" w:hAnsi="Verdana" w:cs="Times New Roman"/>
          <w:bCs/>
          <w:sz w:val="20"/>
          <w:szCs w:val="20"/>
          <w:lang w:eastAsia="es-ES"/>
        </w:rPr>
        <w:t xml:space="preserve">) (fig. 1). </w:t>
      </w:r>
    </w:p>
    <w:p w:rsidR="006C541F" w:rsidRDefault="006C541F" w:rsidP="00AF7C98">
      <w:pPr>
        <w:spacing w:after="0" w:line="360" w:lineRule="auto"/>
        <w:jc w:val="both"/>
        <w:rPr>
          <w:rFonts w:ascii="Verdana" w:eastAsia="Times New Roman" w:hAnsi="Verdana" w:cs="Times New Roman"/>
          <w:b/>
          <w:bCs/>
          <w:color w:val="FF0000"/>
          <w:kern w:val="36"/>
          <w:sz w:val="20"/>
          <w:szCs w:val="20"/>
          <w:lang w:eastAsia="es-ES"/>
        </w:rPr>
        <w:sectPr w:rsidR="006C541F" w:rsidSect="006C541F">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jc w:val="both"/>
        <w:rPr>
          <w:rFonts w:ascii="Verdana" w:eastAsia="Times New Roman" w:hAnsi="Verdana" w:cs="Times New Roman"/>
          <w:b/>
          <w:bCs/>
          <w:color w:val="FF0000"/>
          <w:kern w:val="36"/>
          <w:sz w:val="20"/>
          <w:szCs w:val="20"/>
          <w:lang w:eastAsia="es-ES"/>
        </w:rPr>
      </w:pPr>
    </w:p>
    <w:p w:rsidR="00AF7C98" w:rsidRPr="00AF7C98" w:rsidRDefault="00AF7C98" w:rsidP="00AF7C98">
      <w:pPr>
        <w:spacing w:after="0" w:line="360" w:lineRule="auto"/>
        <w:jc w:val="center"/>
        <w:rPr>
          <w:rFonts w:ascii="Verdana" w:eastAsia="Times New Roman" w:hAnsi="Verdana" w:cs="Times New Roman"/>
          <w:b/>
          <w:bCs/>
          <w:color w:val="FF0000"/>
          <w:kern w:val="36"/>
          <w:sz w:val="18"/>
          <w:szCs w:val="18"/>
          <w:lang w:eastAsia="es-ES"/>
        </w:rPr>
      </w:pPr>
      <w:r w:rsidRPr="00AF7C98">
        <w:rPr>
          <w:rFonts w:ascii="Verdana" w:eastAsia="Times New Roman" w:hAnsi="Verdana" w:cs="Times New Roman"/>
          <w:bCs/>
          <w:kern w:val="36"/>
          <w:sz w:val="18"/>
          <w:szCs w:val="18"/>
          <w:lang w:eastAsia="es-ES"/>
        </w:rPr>
        <w:t>Fig. 1.</w:t>
      </w:r>
      <w:r w:rsidRPr="00AF7C98">
        <w:rPr>
          <w:rFonts w:ascii="Verdana" w:eastAsia="Times New Roman" w:hAnsi="Verdana" w:cs="Times New Roman"/>
          <w:b/>
          <w:bCs/>
          <w:color w:val="FF0000"/>
          <w:kern w:val="36"/>
          <w:sz w:val="18"/>
          <w:szCs w:val="18"/>
          <w:lang w:eastAsia="es-ES"/>
        </w:rPr>
        <w:t xml:space="preserve"> </w:t>
      </w:r>
      <w:r w:rsidRPr="00AF7C98">
        <w:rPr>
          <w:rFonts w:ascii="Verdana" w:eastAsia="Times New Roman" w:hAnsi="Verdana" w:cs="Times New Roman"/>
          <w:kern w:val="36"/>
          <w:sz w:val="18"/>
          <w:szCs w:val="18"/>
          <w:lang w:eastAsia="es-ES"/>
        </w:rPr>
        <w:t xml:space="preserve">Número mínimo de citas recibidas según rango de artículos en revistas nacionales y extranjeras en Ciencias de la salud, </w:t>
      </w:r>
      <w:r w:rsidRPr="00AF7C98">
        <w:rPr>
          <w:rFonts w:ascii="Verdana" w:eastAsia="Times New Roman" w:hAnsi="Verdana" w:cs="Times New Roman"/>
          <w:i/>
          <w:kern w:val="36"/>
          <w:sz w:val="18"/>
          <w:szCs w:val="18"/>
          <w:lang w:eastAsia="es-ES"/>
        </w:rPr>
        <w:t>Scopus</w:t>
      </w:r>
      <w:r w:rsidRPr="00AF7C98">
        <w:rPr>
          <w:rFonts w:ascii="Verdana" w:eastAsia="Times New Roman" w:hAnsi="Verdana" w:cs="Times New Roman"/>
          <w:kern w:val="36"/>
          <w:sz w:val="18"/>
          <w:szCs w:val="18"/>
          <w:lang w:eastAsia="es-ES"/>
        </w:rPr>
        <w:t>, 2009-2013</w:t>
      </w:r>
    </w:p>
    <w:p w:rsidR="00160C50" w:rsidRDefault="00AF7C98" w:rsidP="00AF7C98">
      <w:pPr>
        <w:spacing w:after="0" w:line="240" w:lineRule="auto"/>
        <w:jc w:val="center"/>
        <w:outlineLvl w:val="1"/>
        <w:rPr>
          <w:rFonts w:ascii="Verdana" w:eastAsia="Times New Roman" w:hAnsi="Verdana" w:cs="Arial"/>
          <w:kern w:val="36"/>
          <w:sz w:val="20"/>
          <w:szCs w:val="20"/>
          <w:lang w:eastAsia="es-ES"/>
        </w:rPr>
      </w:pPr>
      <w:r>
        <w:rPr>
          <w:rFonts w:ascii="Verdana" w:eastAsia="Times New Roman" w:hAnsi="Verdana" w:cs="Times New Roman"/>
          <w:noProof/>
          <w:kern w:val="36"/>
          <w:sz w:val="20"/>
          <w:szCs w:val="20"/>
          <w:lang w:eastAsia="es-ES"/>
        </w:rPr>
        <w:drawing>
          <wp:inline distT="0" distB="0" distL="0" distR="0" wp14:anchorId="1DFF8956" wp14:editId="6F446D06">
            <wp:extent cx="4743450" cy="3876675"/>
            <wp:effectExtent l="0" t="0" r="19050" b="95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F7C98">
        <w:rPr>
          <w:rFonts w:ascii="Verdana" w:eastAsia="Times New Roman" w:hAnsi="Verdana" w:cs="Arial"/>
          <w:kern w:val="36"/>
          <w:sz w:val="20"/>
          <w:szCs w:val="20"/>
          <w:lang w:eastAsia="es-ES"/>
        </w:rPr>
        <w:t xml:space="preserve"> </w:t>
      </w:r>
    </w:p>
    <w:p w:rsidR="00AF7C98" w:rsidRPr="00AF7C98" w:rsidRDefault="00AF7C98" w:rsidP="00AF7C98">
      <w:pPr>
        <w:spacing w:after="0" w:line="240" w:lineRule="auto"/>
        <w:jc w:val="center"/>
        <w:outlineLvl w:val="1"/>
        <w:rPr>
          <w:rFonts w:ascii="Verdana" w:eastAsia="Times New Roman" w:hAnsi="Verdana" w:cs="Arial"/>
          <w:kern w:val="36"/>
          <w:sz w:val="20"/>
          <w:szCs w:val="20"/>
          <w:lang w:eastAsia="es-ES"/>
        </w:rPr>
      </w:pPr>
      <w:r w:rsidRPr="00AF7C98">
        <w:rPr>
          <w:rFonts w:ascii="Verdana" w:eastAsia="Times New Roman" w:hAnsi="Verdana" w:cs="Arial"/>
          <w:kern w:val="36"/>
          <w:sz w:val="20"/>
          <w:szCs w:val="20"/>
          <w:lang w:eastAsia="es-ES"/>
        </w:rPr>
        <w:t>Fuente:</w:t>
      </w:r>
      <w:r w:rsidRPr="00AF7C98">
        <w:rPr>
          <w:rFonts w:ascii="Verdana" w:eastAsia="Times New Roman" w:hAnsi="Verdana" w:cs="Arial"/>
          <w:i/>
          <w:iCs/>
          <w:kern w:val="36"/>
          <w:sz w:val="20"/>
          <w:szCs w:val="20"/>
          <w:lang w:eastAsia="es-ES"/>
        </w:rPr>
        <w:t xml:space="preserve"> SciVal</w:t>
      </w:r>
      <w:r w:rsidRPr="00AF7C98">
        <w:rPr>
          <w:rFonts w:ascii="Verdana" w:eastAsia="Times New Roman" w:hAnsi="Verdana" w:cs="Arial"/>
          <w:kern w:val="36"/>
          <w:sz w:val="20"/>
          <w:szCs w:val="20"/>
          <w:lang w:eastAsia="es-ES"/>
        </w:rPr>
        <w:t>, 6 de noviembre de 2014.</w:t>
      </w:r>
    </w:p>
    <w:p w:rsidR="00AF7C98" w:rsidRPr="00AF7C98" w:rsidRDefault="00AF7C98" w:rsidP="00AF7C98">
      <w:pPr>
        <w:spacing w:after="0" w:line="360" w:lineRule="auto"/>
        <w:jc w:val="both"/>
        <w:rPr>
          <w:rFonts w:ascii="Verdana" w:eastAsia="Times New Roman" w:hAnsi="Verdana" w:cs="Times New Roman"/>
          <w:b/>
          <w:bCs/>
          <w:color w:val="FF0000"/>
          <w:kern w:val="36"/>
          <w:sz w:val="20"/>
          <w:szCs w:val="20"/>
          <w:lang w:eastAsia="es-ES"/>
        </w:rPr>
      </w:pPr>
    </w:p>
    <w:p w:rsidR="006C541F" w:rsidRDefault="006C541F" w:rsidP="00AF7C98">
      <w:pPr>
        <w:spacing w:after="0" w:line="360" w:lineRule="auto"/>
        <w:jc w:val="both"/>
        <w:outlineLvl w:val="1"/>
        <w:rPr>
          <w:rFonts w:ascii="Verdana" w:eastAsia="Times New Roman" w:hAnsi="Verdana" w:cs="Times New Roman"/>
          <w:bCs/>
          <w:sz w:val="20"/>
          <w:szCs w:val="20"/>
          <w:lang w:eastAsia="es-ES"/>
        </w:rPr>
        <w:sectPr w:rsidR="006C541F"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outlineLvl w:val="1"/>
        <w:rPr>
          <w:rFonts w:ascii="Verdana" w:eastAsia="Times New Roman" w:hAnsi="Verdana" w:cs="Times New Roman"/>
          <w:bCs/>
          <w:sz w:val="20"/>
          <w:szCs w:val="20"/>
          <w:lang w:eastAsia="es-ES"/>
        </w:rPr>
      </w:pPr>
      <w:r w:rsidRPr="00AF7C98">
        <w:rPr>
          <w:rFonts w:ascii="Verdana" w:eastAsia="Times New Roman" w:hAnsi="Verdana" w:cs="Times New Roman"/>
          <w:bCs/>
          <w:sz w:val="20"/>
          <w:szCs w:val="20"/>
          <w:lang w:eastAsia="es-ES"/>
        </w:rPr>
        <w:lastRenderedPageBreak/>
        <w:t>Si se hiciera una analogía con una carrera de maratón en la que compitieran miles de corredores nacionales y extranjeros, habría que esperar hasta que pasaran al menos 800 competidores foráneos por la línea de meta para esperar la entrada de los primeros participantes nacionales.</w:t>
      </w:r>
    </w:p>
    <w:p w:rsidR="00AF7C98" w:rsidRPr="00AF7C98" w:rsidRDefault="00AF7C98" w:rsidP="00AF7C98">
      <w:pPr>
        <w:spacing w:after="0" w:line="360" w:lineRule="auto"/>
        <w:jc w:val="both"/>
        <w:rPr>
          <w:rFonts w:ascii="Verdana" w:eastAsia="Times New Roman" w:hAnsi="Verdana" w:cs="Times New Roman"/>
          <w:bCs/>
          <w:color w:val="FF0000"/>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r w:rsidRPr="00AF7C98">
        <w:rPr>
          <w:rFonts w:ascii="Verdana" w:eastAsia="Times New Roman" w:hAnsi="Verdana" w:cs="Times New Roman"/>
          <w:bCs/>
          <w:kern w:val="36"/>
          <w:sz w:val="20"/>
          <w:szCs w:val="20"/>
          <w:lang w:eastAsia="es-ES"/>
        </w:rPr>
        <w:t xml:space="preserve">En relación con los índices de citación de las contribuciones de autores radicados en instituciones cubanas publicadas en revistas nacionales y extranjeras 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existen diferencias notables. Solo 420 contribuciones (10,7%) de las 3 904 identificadas en revistas nacionales entre 2009 y 2013, se citaron al menos una vez en igual periodo. El 19,5% (762) del total de los artículos se publicaron en 2013, es decir, el 80,4% se publicó aproximadamente 2 años antes de realizarse el presente estudio y han estado visibles 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hace al menos un año, pero la mayor  parte de ellas ha estado disponible a la comunidad internacional por un tiempo  superior. </w:t>
      </w: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r w:rsidRPr="00AF7C98">
        <w:rPr>
          <w:rFonts w:ascii="Verdana" w:eastAsia="Times New Roman" w:hAnsi="Verdana" w:cs="Times New Roman"/>
          <w:bCs/>
          <w:kern w:val="36"/>
          <w:sz w:val="20"/>
          <w:szCs w:val="20"/>
          <w:lang w:eastAsia="es-ES"/>
        </w:rPr>
        <w:t xml:space="preserve">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1 829 contribuciones de las 2 722 identificadas en revistas extranjeras entre 2009 y 2013, se citaron al menos una vez en igual periodo, el 67,1%. El 20,2% (552) de </w:t>
      </w:r>
      <w:r w:rsidRPr="00AF7C98">
        <w:rPr>
          <w:rFonts w:ascii="Verdana" w:eastAsia="Times New Roman" w:hAnsi="Verdana" w:cs="Times New Roman"/>
          <w:bCs/>
          <w:kern w:val="36"/>
          <w:sz w:val="20"/>
          <w:szCs w:val="20"/>
          <w:lang w:eastAsia="es-ES"/>
        </w:rPr>
        <w:lastRenderedPageBreak/>
        <w:t xml:space="preserve">estas corresponden al año 2013, es decir, el 79,7% del total de artículos se han publicado aproximadamente 2 años antes de realizarse el presente estudio y se encuentran en </w:t>
      </w:r>
      <w:r w:rsidRPr="00AF7C98">
        <w:rPr>
          <w:rFonts w:ascii="Verdana" w:eastAsia="Times New Roman" w:hAnsi="Verdana" w:cs="Times New Roman"/>
          <w:bCs/>
          <w:i/>
          <w:kern w:val="36"/>
          <w:sz w:val="20"/>
          <w:szCs w:val="20"/>
          <w:lang w:eastAsia="es-ES"/>
        </w:rPr>
        <w:t>Scopus</w:t>
      </w:r>
      <w:r w:rsidRPr="00AF7C98">
        <w:rPr>
          <w:rFonts w:ascii="Verdana" w:eastAsia="Times New Roman" w:hAnsi="Verdana" w:cs="Times New Roman"/>
          <w:bCs/>
          <w:kern w:val="36"/>
          <w:sz w:val="20"/>
          <w:szCs w:val="20"/>
          <w:lang w:eastAsia="es-ES"/>
        </w:rPr>
        <w:t xml:space="preserve"> desde hace al menos un año, no obstante, la mayor parte de ellas ha estado disponible a la comunidad internacional por un tiempo  superior.</w:t>
      </w:r>
    </w:p>
    <w:p w:rsidR="00AF7C98" w:rsidRPr="00AF7C98" w:rsidRDefault="00AF7C98" w:rsidP="00AF7C98">
      <w:pPr>
        <w:spacing w:after="0" w:line="360" w:lineRule="auto"/>
        <w:jc w:val="both"/>
        <w:rPr>
          <w:rFonts w:ascii="Verdana" w:eastAsia="Times New Roman" w:hAnsi="Verdana" w:cs="Times New Roman"/>
          <w:bCs/>
          <w:kern w:val="36"/>
          <w:sz w:val="20"/>
          <w:szCs w:val="20"/>
          <w:lang w:eastAsia="es-ES"/>
        </w:rPr>
      </w:pPr>
    </w:p>
    <w:p w:rsidR="00AF7C98" w:rsidRPr="00AF7C98" w:rsidRDefault="00AF7C98" w:rsidP="00AF7C98">
      <w:pPr>
        <w:spacing w:after="0" w:line="360" w:lineRule="auto"/>
        <w:jc w:val="both"/>
        <w:rPr>
          <w:rFonts w:ascii="Verdana" w:eastAsia="Times New Roman" w:hAnsi="Verdana" w:cs="Arial"/>
          <w:kern w:val="36"/>
          <w:sz w:val="20"/>
          <w:szCs w:val="20"/>
          <w:lang w:eastAsia="es-ES"/>
        </w:rPr>
      </w:pPr>
      <w:r w:rsidRPr="00AF7C98">
        <w:rPr>
          <w:rFonts w:ascii="Verdana" w:eastAsia="Times New Roman" w:hAnsi="Verdana" w:cs="Times New Roman"/>
          <w:bCs/>
          <w:kern w:val="36"/>
          <w:sz w:val="20"/>
          <w:szCs w:val="20"/>
          <w:lang w:eastAsia="es-ES"/>
        </w:rPr>
        <w:t>Los datos coinciden con la tendencia revelada en un estudio anterior realizado con fines similares en el periodo 1996-2012,</w:t>
      </w:r>
      <w:r w:rsidRPr="00AF7C98">
        <w:rPr>
          <w:rFonts w:ascii="Verdana" w:eastAsia="Times New Roman" w:hAnsi="Verdana" w:cs="Times New Roman"/>
          <w:bCs/>
          <w:kern w:val="36"/>
          <w:sz w:val="20"/>
          <w:szCs w:val="20"/>
          <w:vertAlign w:val="superscript"/>
          <w:lang w:eastAsia="es-ES"/>
        </w:rPr>
        <w:t>4</w:t>
      </w:r>
      <w:r w:rsidRPr="00AF7C98">
        <w:rPr>
          <w:rFonts w:ascii="Verdana" w:eastAsia="Times New Roman" w:hAnsi="Verdana" w:cs="Times New Roman"/>
          <w:bCs/>
          <w:kern w:val="36"/>
          <w:sz w:val="20"/>
          <w:szCs w:val="20"/>
          <w:lang w:eastAsia="es-ES"/>
        </w:rPr>
        <w:t xml:space="preserve"> donde se observan diferencias notables entre los niveles de citación de las contribuciones editadas en uno y otro flujo de revistas, con predominio acentuado del promedio de citas de los artículos publicados por las revistas extranjeras. </w:t>
      </w:r>
    </w:p>
    <w:p w:rsidR="00AF7C98" w:rsidRPr="00AF7C98" w:rsidRDefault="00AF7C98" w:rsidP="00AF7C98">
      <w:pPr>
        <w:spacing w:after="0" w:line="360" w:lineRule="auto"/>
        <w:rPr>
          <w:rFonts w:ascii="Verdana" w:eastAsia="Times New Roman" w:hAnsi="Verdana" w:cs="Times New Roman"/>
          <w:b/>
          <w:bCs/>
          <w:sz w:val="20"/>
          <w:szCs w:val="20"/>
          <w:lang w:eastAsia="es-ES"/>
        </w:rPr>
      </w:pPr>
    </w:p>
    <w:p w:rsidR="00AF7C98" w:rsidRPr="00AF7C98" w:rsidRDefault="00AF7C98" w:rsidP="00AF7C98">
      <w:pPr>
        <w:spacing w:after="0" w:line="360" w:lineRule="auto"/>
        <w:rPr>
          <w:rFonts w:ascii="Times New Roman" w:eastAsia="Times New Roman" w:hAnsi="Times New Roman" w:cs="Times New Roman"/>
          <w:sz w:val="24"/>
          <w:szCs w:val="24"/>
          <w:lang w:eastAsia="es-ES"/>
        </w:rPr>
      </w:pPr>
      <w:r w:rsidRPr="00AF7C98">
        <w:rPr>
          <w:rFonts w:ascii="Verdana" w:eastAsia="Times New Roman" w:hAnsi="Verdana" w:cs="Times New Roman"/>
          <w:b/>
          <w:bCs/>
          <w:sz w:val="20"/>
          <w:szCs w:val="20"/>
          <w:lang w:eastAsia="es-ES"/>
        </w:rPr>
        <w:t>Índices de citación de las revistas cubanas de salud</w:t>
      </w:r>
      <w:r w:rsidRPr="00AF7C98">
        <w:rPr>
          <w:rFonts w:ascii="Verdana" w:eastAsia="Times New Roman" w:hAnsi="Verdana" w:cs="Times New Roman"/>
          <w:sz w:val="20"/>
          <w:szCs w:val="20"/>
          <w:lang w:eastAsia="es-ES"/>
        </w:rPr>
        <w:t xml:space="preserve"> </w:t>
      </w:r>
    </w:p>
    <w:p w:rsidR="00AF7C98" w:rsidRPr="00AF7C98" w:rsidRDefault="00AF7C98" w:rsidP="00AF7C98">
      <w:pPr>
        <w:spacing w:after="0" w:line="360" w:lineRule="auto"/>
        <w:jc w:val="both"/>
        <w:outlineLvl w:val="1"/>
        <w:rPr>
          <w:rFonts w:ascii="Verdana" w:eastAsia="Times New Roman" w:hAnsi="Verdana" w:cs="Times New Roman"/>
          <w:sz w:val="20"/>
          <w:szCs w:val="20"/>
          <w:lang w:eastAsia="es-ES"/>
        </w:rPr>
      </w:pPr>
      <w:r w:rsidRPr="00AF7C98">
        <w:rPr>
          <w:rFonts w:ascii="Verdana" w:eastAsia="Times New Roman" w:hAnsi="Verdana" w:cs="Times New Roman"/>
          <w:i/>
          <w:iCs/>
          <w:sz w:val="20"/>
          <w:szCs w:val="20"/>
          <w:lang w:eastAsia="es-ES"/>
        </w:rPr>
        <w:t>Scopus</w:t>
      </w:r>
      <w:r w:rsidRPr="00AF7C98">
        <w:rPr>
          <w:rFonts w:ascii="Verdana" w:eastAsia="Times New Roman" w:hAnsi="Verdana" w:cs="Times New Roman"/>
          <w:sz w:val="20"/>
          <w:szCs w:val="20"/>
          <w:lang w:eastAsia="es-ES"/>
        </w:rPr>
        <w:t xml:space="preserve"> registra en el área de </w:t>
      </w:r>
      <w:r w:rsidRPr="00AF7C98">
        <w:rPr>
          <w:rFonts w:ascii="Verdana" w:eastAsia="Times New Roman" w:hAnsi="Verdana" w:cs="Times New Roman"/>
          <w:i/>
          <w:sz w:val="20"/>
          <w:szCs w:val="20"/>
          <w:lang w:eastAsia="es-ES"/>
        </w:rPr>
        <w:t>Ciencias de la salud</w:t>
      </w:r>
      <w:r w:rsidRPr="00AF7C98">
        <w:rPr>
          <w:rFonts w:ascii="Verdana" w:eastAsia="Times New Roman" w:hAnsi="Verdana" w:cs="Times New Roman"/>
          <w:sz w:val="20"/>
          <w:szCs w:val="20"/>
          <w:lang w:eastAsia="es-ES"/>
        </w:rPr>
        <w:t xml:space="preserve"> un total de 21 revistas -se excluyeron del análisis dos revistas, ACIMED</w:t>
      </w:r>
      <w:r w:rsidR="0029722D" w:rsidRPr="0029722D">
        <w:rPr>
          <w:rFonts w:ascii="Verdana" w:eastAsia="Times New Roman" w:hAnsi="Verdana" w:cs="Times New Roman"/>
          <w:sz w:val="20"/>
          <w:szCs w:val="20"/>
          <w:vertAlign w:val="superscript"/>
          <w:lang w:eastAsia="es-ES"/>
        </w:rPr>
        <w:t>a</w:t>
      </w:r>
      <w:r w:rsidRPr="00AF7C98">
        <w:rPr>
          <w:rFonts w:ascii="Verdana" w:eastAsia="Times New Roman" w:hAnsi="Verdana" w:cs="Times New Roman"/>
          <w:sz w:val="20"/>
          <w:szCs w:val="20"/>
          <w:lang w:eastAsia="es-ES"/>
        </w:rPr>
        <w:t xml:space="preserve"> y </w:t>
      </w:r>
      <w:r w:rsidRPr="00AF7C98">
        <w:rPr>
          <w:rFonts w:ascii="Verdana" w:eastAsia="Times New Roman" w:hAnsi="Verdana" w:cs="Times New Roman"/>
          <w:i/>
          <w:sz w:val="20"/>
          <w:szCs w:val="20"/>
          <w:lang w:eastAsia="es-ES"/>
        </w:rPr>
        <w:t>VacciMonitor</w:t>
      </w:r>
      <w:r w:rsidRPr="00AF7C98">
        <w:rPr>
          <w:rFonts w:ascii="Verdana" w:eastAsia="Times New Roman" w:hAnsi="Verdana" w:cs="Times New Roman"/>
          <w:sz w:val="20"/>
          <w:szCs w:val="20"/>
          <w:lang w:eastAsia="es-ES"/>
        </w:rPr>
        <w:t xml:space="preserve">, ambas a causa de falta de completamiento de su colección-, las 19 revistas estudiadas produjeron 2 529 artículos citables (artículos originales, de revisión y materiales de conferencias) en el período 2010-2012 (tabla 3). </w:t>
      </w:r>
    </w:p>
    <w:p w:rsidR="006C541F" w:rsidRDefault="006C541F" w:rsidP="00AF7C98">
      <w:pPr>
        <w:spacing w:after="0" w:line="360" w:lineRule="auto"/>
        <w:jc w:val="both"/>
        <w:outlineLvl w:val="1"/>
        <w:rPr>
          <w:rFonts w:ascii="Verdana" w:eastAsia="Times New Roman" w:hAnsi="Verdana" w:cs="Times New Roman"/>
          <w:sz w:val="20"/>
          <w:szCs w:val="20"/>
          <w:lang w:eastAsia="es-ES"/>
        </w:rPr>
        <w:sectPr w:rsidR="006C541F" w:rsidSect="006C541F">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jc w:val="both"/>
        <w:outlineLvl w:val="1"/>
        <w:rPr>
          <w:rFonts w:ascii="Verdana" w:eastAsia="Times New Roman" w:hAnsi="Verdana" w:cs="Times New Roman"/>
          <w:sz w:val="20"/>
          <w:szCs w:val="20"/>
          <w:lang w:eastAsia="es-ES"/>
        </w:rPr>
      </w:pPr>
    </w:p>
    <w:p w:rsidR="00AF7C98" w:rsidRPr="00AF7C98" w:rsidRDefault="00AF7C98" w:rsidP="00AF7C98">
      <w:pPr>
        <w:spacing w:after="0" w:line="36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sz w:val="18"/>
          <w:szCs w:val="18"/>
          <w:lang w:eastAsia="es-ES"/>
        </w:rPr>
        <w:lastRenderedPageBreak/>
        <w:t xml:space="preserve">Tabla 3. Índice de citación de revistas cubanas de salud de Cuba procesadas por </w:t>
      </w:r>
      <w:r w:rsidRPr="00AF7C98">
        <w:rPr>
          <w:rFonts w:ascii="Verdana" w:eastAsia="Times New Roman" w:hAnsi="Verdana" w:cs="Times New Roman"/>
          <w:i/>
          <w:iCs/>
          <w:sz w:val="18"/>
          <w:szCs w:val="18"/>
          <w:lang w:eastAsia="es-ES"/>
        </w:rPr>
        <w:t>Scopus</w:t>
      </w:r>
      <w:r w:rsidRPr="00AF7C98">
        <w:rPr>
          <w:rFonts w:ascii="Verdana" w:eastAsia="Times New Roman" w:hAnsi="Verdana" w:cs="Times New Roman"/>
          <w:iCs/>
          <w:sz w:val="18"/>
          <w:szCs w:val="18"/>
          <w:lang w:eastAsia="es-ES"/>
        </w:rPr>
        <w:t>, 2013</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65"/>
        <w:gridCol w:w="1276"/>
        <w:gridCol w:w="1417"/>
      </w:tblGrid>
      <w:tr w:rsidR="00AF7C98" w:rsidRPr="00AF7C98" w:rsidTr="00160C50">
        <w:trPr>
          <w:jc w:val="center"/>
        </w:trPr>
        <w:tc>
          <w:tcPr>
            <w:tcW w:w="4536" w:type="dxa"/>
            <w:shd w:val="clear" w:color="auto" w:fill="auto"/>
          </w:tcPr>
          <w:p w:rsidR="00AF7C98" w:rsidRPr="00AF7C98" w:rsidRDefault="00AF7C98" w:rsidP="00AF7C98">
            <w:pPr>
              <w:spacing w:after="0"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Título</w:t>
            </w:r>
          </w:p>
        </w:tc>
        <w:tc>
          <w:tcPr>
            <w:tcW w:w="1065" w:type="dxa"/>
            <w:shd w:val="clear" w:color="auto" w:fill="auto"/>
          </w:tcPr>
          <w:p w:rsidR="00AF7C98" w:rsidRPr="00AF7C98" w:rsidRDefault="00AF7C98" w:rsidP="00AF7C98">
            <w:pPr>
              <w:spacing w:before="100" w:beforeAutospacing="1" w:after="100" w:afterAutospacing="1"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Total de citas, 2013</w:t>
            </w:r>
          </w:p>
        </w:tc>
        <w:tc>
          <w:tcPr>
            <w:tcW w:w="1276" w:type="dxa"/>
          </w:tcPr>
          <w:p w:rsidR="00AF7C98" w:rsidRPr="00AF7C98" w:rsidRDefault="00AF7C98" w:rsidP="00AF7C98">
            <w:pPr>
              <w:spacing w:before="100" w:beforeAutospacing="1" w:after="100" w:afterAutospacing="1"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Total de artículos citables, 2010-2012</w:t>
            </w:r>
          </w:p>
        </w:tc>
        <w:tc>
          <w:tcPr>
            <w:tcW w:w="1417" w:type="dxa"/>
          </w:tcPr>
          <w:p w:rsidR="00AF7C98" w:rsidRPr="00AF7C98" w:rsidRDefault="00AF7C98" w:rsidP="00AF7C98">
            <w:pPr>
              <w:spacing w:before="100" w:beforeAutospacing="1" w:after="100" w:afterAutospacing="1"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Índice de citación*</w:t>
            </w:r>
          </w:p>
          <w:p w:rsidR="00AF7C98" w:rsidRPr="00AF7C98" w:rsidRDefault="00AF7C98" w:rsidP="00AF7C98">
            <w:pPr>
              <w:spacing w:before="100" w:beforeAutospacing="1" w:after="100" w:afterAutospacing="1" w:line="240" w:lineRule="auto"/>
              <w:jc w:val="center"/>
              <w:rPr>
                <w:rFonts w:ascii="Verdana" w:eastAsia="Times New Roman" w:hAnsi="Verdana" w:cs="Times New Roman"/>
                <w:b/>
                <w:iCs/>
                <w:color w:val="FF0000"/>
                <w:sz w:val="18"/>
                <w:szCs w:val="18"/>
                <w:lang w:eastAsia="es-ES"/>
              </w:rPr>
            </w:pP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Biotecnología Aplicada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16</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115</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0.139</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Revista Cubana de Educación Médica Superior</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162</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0.030</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Cirugía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165</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0.018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Enfermería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10</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86</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0.116</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Estomatología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7</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0.057</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Revista Cubana de Farmacia</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153</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0.098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Hematología, Inmunología y Hemoterapia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122</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0.122</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Higiene y Epidemiología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4</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0.033</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Investigaciones Biomédicas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0.023</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127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0.023</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General Integral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177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Militar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118</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0.008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Medicina Tropical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18</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131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0.137</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Obstetricia y Ginecología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15</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177</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0.084</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Ortopedia y Traumatología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53</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0.018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Pediatría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141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0.021</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Plantas Medicinales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30</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116</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0.258</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Cubana de Salud Pública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29</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206</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0.140</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bCs/>
                <w:kern w:val="36"/>
                <w:sz w:val="18"/>
                <w:szCs w:val="18"/>
                <w:lang w:eastAsia="es-ES"/>
              </w:rPr>
            </w:pPr>
            <w:r w:rsidRPr="00AF7C98">
              <w:rPr>
                <w:rFonts w:ascii="Verdana" w:eastAsia="Times New Roman" w:hAnsi="Verdana" w:cs="Times New Roman"/>
                <w:sz w:val="18"/>
                <w:szCs w:val="18"/>
                <w:lang w:eastAsia="es-ES"/>
              </w:rPr>
              <w:t xml:space="preserve">Revista del Hospital Psiquiátrico de La Habana </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111</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0,009</w:t>
            </w:r>
          </w:p>
        </w:tc>
      </w:tr>
      <w:tr w:rsidR="00AF7C98" w:rsidRPr="00AF7C98" w:rsidTr="00160C50">
        <w:trPr>
          <w:jc w:val="center"/>
        </w:trPr>
        <w:tc>
          <w:tcPr>
            <w:tcW w:w="4536" w:type="dxa"/>
            <w:shd w:val="clear" w:color="auto" w:fill="auto"/>
          </w:tcPr>
          <w:p w:rsidR="00AF7C98" w:rsidRPr="00AF7C98" w:rsidRDefault="00AF7C98" w:rsidP="00AF7C98">
            <w:pPr>
              <w:spacing w:after="0" w:line="240" w:lineRule="auto"/>
              <w:rPr>
                <w:rFonts w:ascii="Verdana" w:eastAsia="Times New Roman" w:hAnsi="Verdana" w:cs="Times New Roman"/>
                <w:sz w:val="18"/>
                <w:szCs w:val="18"/>
                <w:lang w:eastAsia="es-ES"/>
              </w:rPr>
            </w:pPr>
            <w:r w:rsidRPr="00AF7C98">
              <w:rPr>
                <w:rFonts w:ascii="Verdana" w:eastAsia="Times New Roman" w:hAnsi="Verdana" w:cs="Times New Roman"/>
                <w:sz w:val="18"/>
                <w:szCs w:val="18"/>
                <w:lang w:eastAsia="es-ES"/>
              </w:rPr>
              <w:t>Total</w:t>
            </w:r>
          </w:p>
        </w:tc>
        <w:tc>
          <w:tcPr>
            <w:tcW w:w="1065"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184</w:t>
            </w:r>
          </w:p>
        </w:tc>
        <w:tc>
          <w:tcPr>
            <w:tcW w:w="1276" w:type="dxa"/>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2 529</w:t>
            </w:r>
          </w:p>
        </w:tc>
        <w:tc>
          <w:tcPr>
            <w:tcW w:w="1417" w:type="dxa"/>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0,072</w:t>
            </w:r>
          </w:p>
        </w:tc>
      </w:tr>
    </w:tbl>
    <w:p w:rsidR="00AF7C98" w:rsidRPr="00AF7C98" w:rsidRDefault="00AF7C98" w:rsidP="00AF7C98">
      <w:pPr>
        <w:spacing w:after="0" w:line="240" w:lineRule="auto"/>
        <w:ind w:left="1440"/>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*Total de citas recibidas en 2013 por los artículos publicados por la revista entre 2010 y 2012 dividido por el total de artículos citables editados en el periodo 2010-2012.</w:t>
      </w:r>
    </w:p>
    <w:p w:rsidR="00AF7C98" w:rsidRPr="00AF7C98" w:rsidRDefault="00AF7C98" w:rsidP="00AF7C98">
      <w:pPr>
        <w:spacing w:after="0" w:line="240" w:lineRule="auto"/>
        <w:jc w:val="center"/>
        <w:rPr>
          <w:rFonts w:ascii="Verdana" w:eastAsia="Times New Roman" w:hAnsi="Verdana" w:cs="Times New Roman"/>
          <w:iCs/>
          <w:sz w:val="18"/>
          <w:szCs w:val="18"/>
          <w:lang w:eastAsia="es-ES"/>
        </w:rPr>
      </w:pPr>
      <w:r w:rsidRPr="00AF7C98">
        <w:rPr>
          <w:rFonts w:ascii="Verdana" w:eastAsia="Times New Roman" w:hAnsi="Verdana" w:cs="Times New Roman"/>
          <w:iCs/>
          <w:sz w:val="18"/>
          <w:szCs w:val="18"/>
          <w:lang w:eastAsia="es-ES"/>
        </w:rPr>
        <w:t xml:space="preserve">Fuente: </w:t>
      </w:r>
      <w:r w:rsidRPr="00AF7C98">
        <w:rPr>
          <w:rFonts w:ascii="Verdana" w:eastAsia="Times New Roman" w:hAnsi="Verdana" w:cs="Times New Roman"/>
          <w:i/>
          <w:iCs/>
          <w:sz w:val="18"/>
          <w:szCs w:val="18"/>
          <w:lang w:eastAsia="es-ES"/>
        </w:rPr>
        <w:t>SCImago Journal &amp; Country Rank</w:t>
      </w:r>
      <w:r w:rsidRPr="00AF7C98">
        <w:rPr>
          <w:rFonts w:ascii="Verdana" w:eastAsia="Times New Roman" w:hAnsi="Verdana" w:cs="Times New Roman"/>
          <w:iCs/>
          <w:sz w:val="18"/>
          <w:szCs w:val="18"/>
          <w:lang w:eastAsia="es-ES"/>
        </w:rPr>
        <w:t>, 10 de diciembre de 2014.</w:t>
      </w:r>
    </w:p>
    <w:p w:rsidR="00AF7C98" w:rsidRPr="00AF7C98" w:rsidRDefault="00AF7C98" w:rsidP="00AF7C98">
      <w:pPr>
        <w:spacing w:after="0" w:line="360" w:lineRule="auto"/>
        <w:jc w:val="both"/>
        <w:outlineLvl w:val="1"/>
        <w:rPr>
          <w:rFonts w:ascii="Verdana" w:eastAsia="Times New Roman" w:hAnsi="Verdana" w:cs="Times New Roman"/>
          <w:sz w:val="20"/>
          <w:szCs w:val="20"/>
          <w:lang w:eastAsia="es-ES"/>
        </w:rPr>
      </w:pPr>
    </w:p>
    <w:p w:rsidR="00C06E1D" w:rsidRDefault="00C06E1D" w:rsidP="00AF7C98">
      <w:pPr>
        <w:spacing w:after="0" w:line="360" w:lineRule="auto"/>
        <w:jc w:val="both"/>
        <w:outlineLvl w:val="1"/>
        <w:rPr>
          <w:rFonts w:ascii="Verdana" w:eastAsia="Times New Roman" w:hAnsi="Verdana" w:cs="Times New Roman"/>
          <w:sz w:val="20"/>
          <w:szCs w:val="20"/>
          <w:lang w:eastAsia="es-ES"/>
        </w:rPr>
        <w:sectPr w:rsidR="00C06E1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outlineLvl w:val="1"/>
        <w:rPr>
          <w:rFonts w:ascii="Verdana" w:eastAsia="Times New Roman" w:hAnsi="Verdana" w:cs="Arial"/>
          <w:bCs/>
          <w:color w:val="FF0000"/>
          <w:kern w:val="36"/>
          <w:sz w:val="20"/>
          <w:szCs w:val="20"/>
          <w:lang w:eastAsia="es-ES"/>
        </w:rPr>
      </w:pPr>
      <w:r w:rsidRPr="00AF7C98">
        <w:rPr>
          <w:rFonts w:ascii="Verdana" w:eastAsia="Times New Roman" w:hAnsi="Verdana" w:cs="Times New Roman"/>
          <w:sz w:val="20"/>
          <w:szCs w:val="20"/>
          <w:lang w:eastAsia="es-ES"/>
        </w:rPr>
        <w:lastRenderedPageBreak/>
        <w:t xml:space="preserve">Sin embargo, en 2013, solo recibieron 184 citas. Las revistas con mayores índices de citación fueron: </w:t>
      </w:r>
      <w:r w:rsidRPr="00AF7C98">
        <w:rPr>
          <w:rFonts w:ascii="Verdana" w:eastAsia="Times New Roman" w:hAnsi="Verdana" w:cs="Times New Roman"/>
          <w:i/>
          <w:sz w:val="20"/>
          <w:szCs w:val="20"/>
          <w:lang w:eastAsia="es-ES"/>
        </w:rPr>
        <w:t>Revista Cubana de Plantas Medicinales</w:t>
      </w:r>
      <w:r w:rsidRPr="00AF7C98">
        <w:rPr>
          <w:rFonts w:ascii="Verdana" w:eastAsia="Times New Roman" w:hAnsi="Verdana" w:cs="Times New Roman"/>
          <w:sz w:val="20"/>
          <w:szCs w:val="20"/>
          <w:lang w:eastAsia="es-ES"/>
        </w:rPr>
        <w:t xml:space="preserve"> (0,258), </w:t>
      </w:r>
      <w:r w:rsidRPr="00AF7C98">
        <w:rPr>
          <w:rFonts w:ascii="Verdana" w:eastAsia="Times New Roman" w:hAnsi="Verdana" w:cs="Times New Roman"/>
          <w:i/>
          <w:sz w:val="20"/>
          <w:szCs w:val="20"/>
          <w:lang w:eastAsia="es-ES"/>
        </w:rPr>
        <w:t xml:space="preserve">Biotecnología Aplicada </w:t>
      </w:r>
      <w:r w:rsidRPr="00AF7C98">
        <w:rPr>
          <w:rFonts w:ascii="Verdana" w:eastAsia="Times New Roman" w:hAnsi="Verdana" w:cs="Times New Roman"/>
          <w:sz w:val="20"/>
          <w:szCs w:val="20"/>
          <w:lang w:eastAsia="es-ES"/>
        </w:rPr>
        <w:t xml:space="preserve">(0,139), </w:t>
      </w:r>
      <w:r w:rsidRPr="00AF7C98">
        <w:rPr>
          <w:rFonts w:ascii="Verdana" w:eastAsia="Times New Roman" w:hAnsi="Verdana" w:cs="Times New Roman"/>
          <w:i/>
          <w:sz w:val="20"/>
          <w:szCs w:val="20"/>
          <w:lang w:eastAsia="es-ES"/>
        </w:rPr>
        <w:t xml:space="preserve">Revista Cubana de Medicina Tropical </w:t>
      </w:r>
      <w:r w:rsidRPr="00AF7C98">
        <w:rPr>
          <w:rFonts w:ascii="Verdana" w:eastAsia="Times New Roman" w:hAnsi="Verdana" w:cs="Times New Roman"/>
          <w:sz w:val="20"/>
          <w:szCs w:val="20"/>
          <w:lang w:eastAsia="es-ES"/>
        </w:rPr>
        <w:t xml:space="preserve">(0,137), </w:t>
      </w:r>
      <w:r w:rsidRPr="00AF7C98">
        <w:rPr>
          <w:rFonts w:ascii="Verdana" w:eastAsia="Times New Roman" w:hAnsi="Verdana" w:cs="Times New Roman"/>
          <w:i/>
          <w:sz w:val="20"/>
          <w:szCs w:val="20"/>
          <w:lang w:eastAsia="es-ES"/>
        </w:rPr>
        <w:t xml:space="preserve">Revista Cubana de Hematología, Inmunología y Hemoterapia </w:t>
      </w:r>
      <w:r w:rsidRPr="00AF7C98">
        <w:rPr>
          <w:rFonts w:ascii="Verdana" w:eastAsia="Times New Roman" w:hAnsi="Verdana" w:cs="Times New Roman"/>
          <w:sz w:val="20"/>
          <w:szCs w:val="20"/>
          <w:lang w:eastAsia="es-ES"/>
        </w:rPr>
        <w:t xml:space="preserve">(0,122) y </w:t>
      </w:r>
      <w:r w:rsidRPr="00AF7C98">
        <w:rPr>
          <w:rFonts w:ascii="Verdana" w:eastAsia="Times New Roman" w:hAnsi="Verdana" w:cs="Times New Roman"/>
          <w:i/>
          <w:sz w:val="20"/>
          <w:szCs w:val="20"/>
          <w:lang w:eastAsia="es-ES"/>
        </w:rPr>
        <w:t>Revista Cubana de Enfermería</w:t>
      </w:r>
      <w:r w:rsidRPr="00AF7C98">
        <w:rPr>
          <w:rFonts w:ascii="Verdana" w:eastAsia="Times New Roman" w:hAnsi="Verdana" w:cs="Times New Roman"/>
          <w:sz w:val="20"/>
          <w:szCs w:val="20"/>
          <w:lang w:eastAsia="es-ES"/>
        </w:rPr>
        <w:t xml:space="preserve"> (0,116). Los índices de autocita son bajos. No se encontraron irregularidades con respecto al completamiento de la colección en el periodo de estudio. El </w:t>
      </w:r>
      <w:r w:rsidRPr="00AF7C98">
        <w:rPr>
          <w:rFonts w:ascii="Verdana" w:eastAsia="Times New Roman" w:hAnsi="Verdana" w:cs="Times New Roman"/>
          <w:sz w:val="20"/>
          <w:szCs w:val="20"/>
          <w:lang w:eastAsia="es-ES"/>
        </w:rPr>
        <w:lastRenderedPageBreak/>
        <w:t xml:space="preserve">promedio de citación del total de revistas fue de 0,072. </w:t>
      </w:r>
    </w:p>
    <w:p w:rsidR="00AF7C98" w:rsidRPr="00AF7C98" w:rsidRDefault="00AF7C98" w:rsidP="00AF7C98">
      <w:pPr>
        <w:spacing w:after="0" w:line="360" w:lineRule="auto"/>
        <w:rPr>
          <w:rFonts w:ascii="Verdana" w:eastAsia="Times New Roman" w:hAnsi="Verdana" w:cs="Times New Roman"/>
          <w:iCs/>
          <w:color w:val="FF0000"/>
          <w:sz w:val="20"/>
          <w:szCs w:val="20"/>
          <w:lang w:eastAsia="es-ES"/>
        </w:rPr>
      </w:pP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t xml:space="preserve">Es importante no solo conocer los promedios de citación de cada revista publicada, sino también los por cientos de artículos que no se citan, porque puede suceder que unas pocas contribuciones con altos índices de citación encubran su comportamiento real en el total de artículos editados. Se  identificaron 15 revistas con más de 100 contribuciones no citadas en 2013 (tabla 4). </w:t>
      </w:r>
    </w:p>
    <w:p w:rsidR="00C06E1D" w:rsidRDefault="00C06E1D" w:rsidP="00AF7C98">
      <w:pPr>
        <w:spacing w:after="0" w:line="360" w:lineRule="auto"/>
        <w:outlineLvl w:val="1"/>
        <w:rPr>
          <w:rFonts w:ascii="Verdana" w:eastAsia="Times New Roman" w:hAnsi="Verdana" w:cs="Arial"/>
          <w:bCs/>
          <w:kern w:val="36"/>
          <w:sz w:val="20"/>
          <w:szCs w:val="20"/>
          <w:lang w:eastAsia="es-ES"/>
        </w:rPr>
        <w:sectPr w:rsidR="00C06E1D" w:rsidSect="00C06E1D">
          <w:type w:val="continuous"/>
          <w:pgSz w:w="11906" w:h="16838"/>
          <w:pgMar w:top="1417" w:right="1701" w:bottom="1417" w:left="1701" w:header="708" w:footer="708" w:gutter="0"/>
          <w:cols w:num="2" w:space="708"/>
          <w:titlePg/>
          <w:docGrid w:linePitch="360"/>
        </w:sectPr>
      </w:pPr>
    </w:p>
    <w:p w:rsidR="00AF7C98" w:rsidRPr="00AF7C98" w:rsidRDefault="00AF7C98" w:rsidP="00AF7C98">
      <w:pPr>
        <w:spacing w:after="0" w:line="360" w:lineRule="auto"/>
        <w:outlineLvl w:val="1"/>
        <w:rPr>
          <w:rFonts w:ascii="Verdana" w:eastAsia="Times New Roman" w:hAnsi="Verdana" w:cs="Arial"/>
          <w:bCs/>
          <w:kern w:val="36"/>
          <w:sz w:val="20"/>
          <w:szCs w:val="20"/>
          <w:lang w:eastAsia="es-ES"/>
        </w:rPr>
      </w:pPr>
    </w:p>
    <w:p w:rsidR="00AF7C98" w:rsidRPr="00AF7C98" w:rsidRDefault="00AF7C98" w:rsidP="00AF7C98">
      <w:pPr>
        <w:spacing w:after="0" w:line="36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lastRenderedPageBreak/>
        <w:t xml:space="preserve">Tabla 4. Por ciento de artículos no citados según título de revista, </w:t>
      </w:r>
      <w:r w:rsidRPr="00AF7C98">
        <w:rPr>
          <w:rFonts w:ascii="Verdana" w:eastAsia="Times New Roman" w:hAnsi="Verdana" w:cs="Arial"/>
          <w:bCs/>
          <w:i/>
          <w:kern w:val="36"/>
          <w:sz w:val="18"/>
          <w:szCs w:val="18"/>
          <w:lang w:eastAsia="es-ES"/>
        </w:rPr>
        <w:t>Scopus</w:t>
      </w:r>
      <w:r w:rsidRPr="00AF7C98">
        <w:rPr>
          <w:rFonts w:ascii="Verdana" w:eastAsia="Times New Roman" w:hAnsi="Verdana" w:cs="Arial"/>
          <w:bCs/>
          <w:kern w:val="36"/>
          <w:sz w:val="18"/>
          <w:szCs w:val="18"/>
          <w:lang w:eastAsia="es-ES"/>
        </w:rPr>
        <w:t>, 2013</w:t>
      </w:r>
    </w:p>
    <w:tbl>
      <w:tblPr>
        <w:tblW w:w="10006"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1276"/>
        <w:gridCol w:w="1584"/>
        <w:gridCol w:w="1393"/>
        <w:gridCol w:w="1275"/>
      </w:tblGrid>
      <w:tr w:rsidR="00AF7C98" w:rsidRPr="00AF7C98" w:rsidTr="00160C50">
        <w:tc>
          <w:tcPr>
            <w:tcW w:w="4478"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Título</w:t>
            </w:r>
          </w:p>
        </w:tc>
        <w:tc>
          <w:tcPr>
            <w:tcW w:w="1276"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Total de artículos, 2010-2012</w:t>
            </w:r>
          </w:p>
        </w:tc>
        <w:tc>
          <w:tcPr>
            <w:tcW w:w="1584"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 xml:space="preserve">Total de artículos no citados, 2013* </w:t>
            </w:r>
          </w:p>
        </w:tc>
        <w:tc>
          <w:tcPr>
            <w:tcW w:w="1393" w:type="dxa"/>
            <w:shd w:val="clear" w:color="auto" w:fill="auto"/>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Por ciento de artículos no citados, 2013**</w:t>
            </w:r>
          </w:p>
        </w:tc>
        <w:tc>
          <w:tcPr>
            <w:tcW w:w="1275" w:type="dxa"/>
          </w:tcPr>
          <w:p w:rsidR="00AF7C98" w:rsidRPr="00AF7C98" w:rsidRDefault="00AF7C98" w:rsidP="00AF7C98">
            <w:pPr>
              <w:spacing w:after="0" w:line="240" w:lineRule="auto"/>
              <w:jc w:val="center"/>
              <w:outlineLvl w:val="1"/>
              <w:rPr>
                <w:rFonts w:ascii="Verdana" w:eastAsia="Times New Roman" w:hAnsi="Verdana" w:cs="Arial"/>
                <w:bCs/>
                <w:kern w:val="36"/>
                <w:sz w:val="18"/>
                <w:szCs w:val="18"/>
                <w:lang w:eastAsia="es-ES"/>
              </w:rPr>
            </w:pPr>
            <w:r w:rsidRPr="00AF7C98">
              <w:rPr>
                <w:rFonts w:ascii="Verdana" w:eastAsia="Times New Roman" w:hAnsi="Verdana" w:cs="Arial"/>
                <w:bCs/>
                <w:kern w:val="36"/>
                <w:sz w:val="18"/>
                <w:szCs w:val="18"/>
                <w:lang w:eastAsia="es-ES"/>
              </w:rPr>
              <w:t>Por ciento acumulado</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Salud Pública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228</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204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8,21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8,21</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Obstetricia y Ginecología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194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180</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7,24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15,45</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Educación Médica Superior</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173</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170</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6,84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22,29</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Cirugía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164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159</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6,40</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28,69</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Farmacia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165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151</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6,07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34,76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Pediatría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144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141</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5,67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40,43</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132</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5,31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45,74</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Investigaciones Biomédicas</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132</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130</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5,23</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50,97</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Higiene y Epidemiología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130</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126</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5,07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56,04</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Hematología, Inmunología y Hemoterapia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138</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125</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5,03</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p>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61,07</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 General Integral</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184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4,99</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66,06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 Militar</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4,99</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71,05</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del Hospital Psiquiátrico de la Habana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124</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123</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4,95</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76,00</w:t>
            </w:r>
          </w:p>
        </w:tc>
      </w:tr>
      <w:tr w:rsidR="00AF7C98" w:rsidRPr="00AF7C98" w:rsidTr="00160C50">
        <w:trPr>
          <w:trHeight w:val="182"/>
        </w:trPr>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Estomatología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129</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122</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80,91</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Medicina Tropical</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137</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122</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4,91</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85,82</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Biotecnología Aplicada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117</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103</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4,14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89,96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Enfermería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107</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98</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3,94</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93,90</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Plantas Medicinales</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121</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96</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3,86</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97,76</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Revista Cubana de Ortopedia y Traumatología</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55</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bCs/>
                <w:kern w:val="36"/>
                <w:sz w:val="18"/>
                <w:szCs w:val="18"/>
                <w:lang w:eastAsia="es-ES"/>
              </w:rPr>
            </w:pPr>
            <w:r w:rsidRPr="00AF7C98">
              <w:rPr>
                <w:rFonts w:ascii="Verdana" w:eastAsia="Times New Roman" w:hAnsi="Verdana" w:cs="Arial"/>
                <w:kern w:val="36"/>
                <w:sz w:val="18"/>
                <w:szCs w:val="18"/>
                <w:lang w:eastAsia="es-ES"/>
              </w:rPr>
              <w:t>54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2,17</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99,93</w:t>
            </w:r>
          </w:p>
        </w:tc>
      </w:tr>
      <w:tr w:rsidR="00AF7C98" w:rsidRPr="00AF7C98" w:rsidTr="00160C50">
        <w:tc>
          <w:tcPr>
            <w:tcW w:w="4478" w:type="dxa"/>
            <w:shd w:val="clear" w:color="auto" w:fill="auto"/>
            <w:vAlign w:val="bottom"/>
          </w:tcPr>
          <w:p w:rsidR="00AF7C98" w:rsidRPr="00AF7C98" w:rsidRDefault="00AF7C98" w:rsidP="00AF7C98">
            <w:pPr>
              <w:spacing w:after="0" w:line="240" w:lineRule="auto"/>
              <w:rPr>
                <w:rFonts w:ascii="Verdana" w:eastAsia="Times New Roman" w:hAnsi="Verdana" w:cs="Arial"/>
                <w:kern w:val="36"/>
                <w:sz w:val="18"/>
                <w:szCs w:val="18"/>
                <w:lang w:eastAsia="es-ES"/>
              </w:rPr>
            </w:pPr>
            <w:r w:rsidRPr="00AF7C98">
              <w:rPr>
                <w:rFonts w:ascii="Verdana" w:eastAsia="Times New Roman" w:hAnsi="Verdana" w:cs="Arial"/>
                <w:kern w:val="36"/>
                <w:sz w:val="18"/>
                <w:szCs w:val="18"/>
                <w:lang w:eastAsia="es-ES"/>
              </w:rPr>
              <w:t>Total</w:t>
            </w:r>
          </w:p>
        </w:tc>
        <w:tc>
          <w:tcPr>
            <w:tcW w:w="1276"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kern w:val="36"/>
                <w:sz w:val="18"/>
                <w:szCs w:val="18"/>
                <w:lang w:eastAsia="es-ES"/>
              </w:rPr>
            </w:pPr>
            <w:r w:rsidRPr="00AF7C98">
              <w:rPr>
                <w:rFonts w:ascii="Verdana" w:eastAsia="Times New Roman" w:hAnsi="Verdana" w:cs="Calibri"/>
                <w:bCs/>
                <w:kern w:val="36"/>
                <w:sz w:val="18"/>
                <w:szCs w:val="18"/>
                <w:lang w:eastAsia="es-ES"/>
              </w:rPr>
              <w:t>2 702</w:t>
            </w:r>
          </w:p>
        </w:tc>
        <w:tc>
          <w:tcPr>
            <w:tcW w:w="1584" w:type="dxa"/>
            <w:shd w:val="clear" w:color="auto" w:fill="auto"/>
            <w:vAlign w:val="bottom"/>
          </w:tcPr>
          <w:p w:rsidR="00AF7C98" w:rsidRPr="00AF7C98" w:rsidRDefault="00AF7C98" w:rsidP="00AF7C98">
            <w:pPr>
              <w:spacing w:after="0" w:line="240" w:lineRule="auto"/>
              <w:jc w:val="center"/>
              <w:rPr>
                <w:rFonts w:ascii="Verdana" w:eastAsia="Times New Roman" w:hAnsi="Verdana" w:cs="Arial"/>
                <w:kern w:val="36"/>
                <w:sz w:val="18"/>
                <w:szCs w:val="18"/>
                <w:lang w:eastAsia="es-ES"/>
              </w:rPr>
            </w:pPr>
            <w:r w:rsidRPr="00AF7C98">
              <w:rPr>
                <w:rFonts w:ascii="Verdana" w:eastAsia="Times New Roman" w:hAnsi="Verdana" w:cs="Arial"/>
                <w:kern w:val="36"/>
                <w:sz w:val="18"/>
                <w:szCs w:val="18"/>
                <w:lang w:eastAsia="es-ES"/>
              </w:rPr>
              <w:t>2 484</w:t>
            </w:r>
          </w:p>
        </w:tc>
        <w:tc>
          <w:tcPr>
            <w:tcW w:w="1393" w:type="dxa"/>
            <w:shd w:val="clear" w:color="auto" w:fill="auto"/>
            <w:vAlign w:val="bottom"/>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99,93</w:t>
            </w:r>
          </w:p>
        </w:tc>
        <w:tc>
          <w:tcPr>
            <w:tcW w:w="1275" w:type="dxa"/>
          </w:tcPr>
          <w:p w:rsidR="00AF7C98" w:rsidRPr="00AF7C98" w:rsidRDefault="00AF7C98" w:rsidP="00AF7C98">
            <w:pPr>
              <w:spacing w:after="0" w:line="240" w:lineRule="auto"/>
              <w:jc w:val="center"/>
              <w:rPr>
                <w:rFonts w:ascii="Verdana" w:eastAsia="Times New Roman" w:hAnsi="Verdana" w:cs="Calibri"/>
                <w:bCs/>
                <w:color w:val="000000"/>
                <w:kern w:val="36"/>
                <w:sz w:val="18"/>
                <w:szCs w:val="18"/>
                <w:lang w:eastAsia="es-ES"/>
              </w:rPr>
            </w:pPr>
            <w:r w:rsidRPr="00AF7C98">
              <w:rPr>
                <w:rFonts w:ascii="Verdana" w:eastAsia="Times New Roman" w:hAnsi="Verdana" w:cs="Calibri"/>
                <w:bCs/>
                <w:color w:val="000000"/>
                <w:kern w:val="36"/>
                <w:sz w:val="18"/>
                <w:szCs w:val="18"/>
                <w:lang w:eastAsia="es-ES"/>
              </w:rPr>
              <w:t>---</w:t>
            </w:r>
          </w:p>
        </w:tc>
      </w:tr>
    </w:tbl>
    <w:p w:rsidR="00AF7C98" w:rsidRPr="00AF7C98" w:rsidRDefault="00AF7C98" w:rsidP="00AF7C98">
      <w:pPr>
        <w:spacing w:after="0" w:line="240" w:lineRule="auto"/>
        <w:ind w:left="1080"/>
        <w:outlineLvl w:val="1"/>
        <w:rPr>
          <w:rFonts w:ascii="Verdana" w:eastAsia="Times New Roman" w:hAnsi="Verdana" w:cs="Arial"/>
          <w:bCs/>
          <w:kern w:val="36"/>
          <w:sz w:val="20"/>
          <w:szCs w:val="20"/>
          <w:lang w:eastAsia="es-ES"/>
        </w:rPr>
      </w:pPr>
      <w:r w:rsidRPr="00AF7C98">
        <w:rPr>
          <w:rFonts w:ascii="Verdana" w:eastAsia="Times New Roman" w:hAnsi="Verdana" w:cs="Arial"/>
          <w:bCs/>
          <w:kern w:val="36"/>
          <w:sz w:val="20"/>
          <w:szCs w:val="20"/>
          <w:lang w:eastAsia="es-ES"/>
        </w:rPr>
        <w:t>*</w:t>
      </w:r>
      <w:r w:rsidRPr="00AF7C98">
        <w:rPr>
          <w:rFonts w:ascii="Verdana" w:eastAsia="Times New Roman" w:hAnsi="Verdana" w:cs="Arial"/>
          <w:bCs/>
          <w:kern w:val="36"/>
          <w:sz w:val="18"/>
          <w:szCs w:val="18"/>
          <w:lang w:eastAsia="es-ES"/>
        </w:rPr>
        <w:t xml:space="preserve"> Total de artículos publicados entre 2010 y 2012 no citados en 2013. </w:t>
      </w:r>
    </w:p>
    <w:p w:rsidR="00AF7C98" w:rsidRPr="00AF7C98" w:rsidRDefault="00AF7C98" w:rsidP="00AF7C98">
      <w:pPr>
        <w:spacing w:after="0" w:line="240" w:lineRule="auto"/>
        <w:ind w:left="720"/>
        <w:jc w:val="center"/>
        <w:outlineLvl w:val="1"/>
        <w:rPr>
          <w:rFonts w:ascii="Verdana" w:eastAsia="Times New Roman" w:hAnsi="Verdana" w:cs="Arial"/>
          <w:bCs/>
          <w:kern w:val="36"/>
          <w:sz w:val="20"/>
          <w:szCs w:val="20"/>
          <w:lang w:eastAsia="es-ES"/>
        </w:rPr>
      </w:pPr>
      <w:r w:rsidRPr="00AF7C98">
        <w:rPr>
          <w:rFonts w:ascii="Verdana" w:eastAsia="Times New Roman" w:hAnsi="Verdana" w:cs="Arial"/>
          <w:bCs/>
          <w:kern w:val="36"/>
          <w:sz w:val="20"/>
          <w:szCs w:val="20"/>
          <w:lang w:eastAsia="es-ES"/>
        </w:rPr>
        <w:t>**Obsérvese que el número base utilizado para calcular este por ciento es diferente al empleado para el cálculo en la tabla anterior, donde se usó el total de artículos citables en lugar del total de artículos publicados.</w:t>
      </w:r>
    </w:p>
    <w:p w:rsidR="00AF7C98" w:rsidRPr="00AF7C98" w:rsidRDefault="00AF7C98" w:rsidP="00AF7C98">
      <w:pPr>
        <w:spacing w:after="0" w:line="240" w:lineRule="auto"/>
        <w:jc w:val="center"/>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t xml:space="preserve">Fuente: </w:t>
      </w:r>
      <w:r w:rsidRPr="00AF7C98">
        <w:rPr>
          <w:rFonts w:ascii="Verdana" w:eastAsia="Times New Roman" w:hAnsi="Verdana" w:cs="Times New Roman"/>
          <w:i/>
          <w:iCs/>
          <w:sz w:val="20"/>
          <w:szCs w:val="20"/>
          <w:lang w:eastAsia="es-ES"/>
        </w:rPr>
        <w:t>SCImago Journal &amp; Country Rank</w:t>
      </w:r>
      <w:r w:rsidRPr="00AF7C98">
        <w:rPr>
          <w:rFonts w:ascii="Verdana" w:eastAsia="Times New Roman" w:hAnsi="Verdana" w:cs="Times New Roman"/>
          <w:iCs/>
          <w:sz w:val="20"/>
          <w:szCs w:val="20"/>
          <w:lang w:eastAsia="es-ES"/>
        </w:rPr>
        <w:t>, 10 de diciembre de 2014.</w:t>
      </w:r>
    </w:p>
    <w:p w:rsidR="00AF7C98" w:rsidRPr="00AF7C98" w:rsidRDefault="00AF7C98" w:rsidP="00AF7C98">
      <w:pPr>
        <w:spacing w:after="0" w:line="360" w:lineRule="auto"/>
        <w:rPr>
          <w:rFonts w:ascii="Verdana" w:eastAsia="Times New Roman" w:hAnsi="Verdana" w:cs="Times New Roman"/>
          <w:bCs/>
          <w:kern w:val="36"/>
          <w:sz w:val="20"/>
          <w:szCs w:val="20"/>
          <w:lang w:eastAsia="es-ES"/>
        </w:rPr>
      </w:pPr>
    </w:p>
    <w:p w:rsidR="00C06E1D" w:rsidRDefault="00C06E1D" w:rsidP="00AF7C98">
      <w:pPr>
        <w:spacing w:after="0" w:line="360" w:lineRule="auto"/>
        <w:jc w:val="both"/>
        <w:rPr>
          <w:rFonts w:ascii="Verdana" w:eastAsia="Times New Roman" w:hAnsi="Verdana" w:cs="Times New Roman"/>
          <w:iCs/>
          <w:sz w:val="20"/>
          <w:szCs w:val="20"/>
          <w:lang w:eastAsia="es-ES"/>
        </w:rPr>
        <w:sectPr w:rsidR="00C06E1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lastRenderedPageBreak/>
        <w:t xml:space="preserve">Algunas de las revistas identificadas son prominentes en el área de la salud en el país y por ello, este comportamiento debe tomarse por sus directivos como una alerta importante con respecto a su labor editorial aunque en todos los casos, se necesita investigar con mayor profundidad el fenómeno referido. </w:t>
      </w: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p>
    <w:p w:rsidR="00AF7C98" w:rsidRPr="00AF7C98" w:rsidRDefault="00AF7C98" w:rsidP="00AF7C98">
      <w:pPr>
        <w:spacing w:after="0" w:line="360" w:lineRule="auto"/>
        <w:jc w:val="both"/>
        <w:rPr>
          <w:rFonts w:ascii="Verdana" w:eastAsia="Times New Roman" w:hAnsi="Verdana" w:cs="Times New Roman"/>
          <w:iCs/>
          <w:color w:val="FF0000"/>
          <w:sz w:val="20"/>
          <w:szCs w:val="20"/>
          <w:lang w:eastAsia="es-ES"/>
        </w:rPr>
      </w:pPr>
      <w:r w:rsidRPr="00AF7C98">
        <w:rPr>
          <w:rFonts w:ascii="Verdana" w:eastAsia="Times New Roman" w:hAnsi="Verdana" w:cs="Times New Roman"/>
          <w:iCs/>
          <w:sz w:val="20"/>
          <w:szCs w:val="20"/>
          <w:lang w:eastAsia="es-ES"/>
        </w:rPr>
        <w:t xml:space="preserve">Aunque los datos correspondientes al comportamiento de la citación de las revistas cubanas procesadas por </w:t>
      </w:r>
      <w:r w:rsidRPr="00AF7C98">
        <w:rPr>
          <w:rFonts w:ascii="Verdana" w:eastAsia="Times New Roman" w:hAnsi="Verdana" w:cs="Times New Roman"/>
          <w:i/>
          <w:iCs/>
          <w:sz w:val="20"/>
          <w:szCs w:val="20"/>
          <w:lang w:eastAsia="es-ES"/>
        </w:rPr>
        <w:t>Scopus</w:t>
      </w:r>
      <w:r w:rsidRPr="00AF7C98">
        <w:rPr>
          <w:rFonts w:ascii="Verdana" w:eastAsia="Times New Roman" w:hAnsi="Verdana" w:cs="Times New Roman"/>
          <w:iCs/>
          <w:sz w:val="20"/>
          <w:szCs w:val="20"/>
          <w:lang w:eastAsia="es-ES"/>
        </w:rPr>
        <w:t xml:space="preserve"> en la categoría </w:t>
      </w:r>
      <w:r w:rsidRPr="00AF7C98">
        <w:rPr>
          <w:rFonts w:ascii="Verdana" w:eastAsia="Times New Roman" w:hAnsi="Verdana" w:cs="Times New Roman"/>
          <w:i/>
          <w:iCs/>
          <w:sz w:val="20"/>
          <w:szCs w:val="20"/>
          <w:lang w:eastAsia="es-ES"/>
        </w:rPr>
        <w:t>Medicina</w:t>
      </w:r>
      <w:r w:rsidRPr="00AF7C98">
        <w:rPr>
          <w:rFonts w:ascii="Verdana" w:eastAsia="Times New Roman" w:hAnsi="Verdana" w:cs="Times New Roman"/>
          <w:iCs/>
          <w:sz w:val="20"/>
          <w:szCs w:val="20"/>
          <w:lang w:eastAsia="es-ES"/>
        </w:rPr>
        <w:t xml:space="preserve"> en 2013 son consistentes con los </w:t>
      </w:r>
      <w:r w:rsidRPr="00AF7C98">
        <w:rPr>
          <w:rFonts w:ascii="Verdana" w:eastAsia="Times New Roman" w:hAnsi="Verdana" w:cs="Times New Roman"/>
          <w:iCs/>
          <w:sz w:val="20"/>
          <w:szCs w:val="20"/>
          <w:lang w:eastAsia="es-ES"/>
        </w:rPr>
        <w:lastRenderedPageBreak/>
        <w:t>obtenidos en 2012 (0,05 y 0,04 respectivamente),</w:t>
      </w:r>
      <w:r w:rsidRPr="00AF7C98">
        <w:rPr>
          <w:rFonts w:ascii="Verdana" w:eastAsia="Times New Roman" w:hAnsi="Verdana" w:cs="Times New Roman"/>
          <w:iCs/>
          <w:sz w:val="20"/>
          <w:szCs w:val="20"/>
          <w:vertAlign w:val="superscript"/>
          <w:lang w:eastAsia="es-ES"/>
        </w:rPr>
        <w:t>3</w:t>
      </w:r>
      <w:r w:rsidRPr="00AF7C98">
        <w:rPr>
          <w:rFonts w:ascii="Verdana" w:eastAsia="Times New Roman" w:hAnsi="Verdana" w:cs="Times New Roman"/>
          <w:iCs/>
          <w:color w:val="FF0000"/>
          <w:sz w:val="20"/>
          <w:szCs w:val="20"/>
          <w:lang w:eastAsia="es-ES"/>
        </w:rPr>
        <w:t xml:space="preserve"> </w:t>
      </w:r>
      <w:r w:rsidRPr="00AF7C98">
        <w:rPr>
          <w:rFonts w:ascii="Verdana" w:eastAsia="Times New Roman" w:hAnsi="Verdana" w:cs="Times New Roman"/>
          <w:iCs/>
          <w:sz w:val="20"/>
          <w:szCs w:val="20"/>
          <w:lang w:eastAsia="es-ES"/>
        </w:rPr>
        <w:t xml:space="preserve">se debe extender el periodo de estudio con vistas a lograr una visión más completa del fenómeno. </w:t>
      </w:r>
      <w:r w:rsidRPr="00AF7C98">
        <w:rPr>
          <w:rFonts w:ascii="Verdana" w:eastAsia="Times New Roman" w:hAnsi="Verdana" w:cs="Times New Roman"/>
          <w:i/>
          <w:iCs/>
          <w:sz w:val="20"/>
          <w:szCs w:val="20"/>
          <w:lang w:eastAsia="es-ES"/>
        </w:rPr>
        <w:t>Medicina</w:t>
      </w:r>
      <w:r w:rsidRPr="00AF7C98">
        <w:rPr>
          <w:rFonts w:ascii="Verdana" w:eastAsia="Times New Roman" w:hAnsi="Verdana" w:cs="Times New Roman"/>
          <w:iCs/>
          <w:sz w:val="20"/>
          <w:szCs w:val="20"/>
          <w:lang w:eastAsia="es-ES"/>
        </w:rPr>
        <w:t xml:space="preserve"> es un área del conocimiento determinante en los índices de citación no solo de las </w:t>
      </w:r>
      <w:r w:rsidRPr="00AF7C98">
        <w:rPr>
          <w:rFonts w:ascii="Verdana" w:eastAsia="Times New Roman" w:hAnsi="Verdana" w:cs="Times New Roman"/>
          <w:i/>
          <w:iCs/>
          <w:sz w:val="20"/>
          <w:szCs w:val="20"/>
          <w:lang w:eastAsia="es-ES"/>
        </w:rPr>
        <w:t>Ciencias de la salud</w:t>
      </w:r>
      <w:r w:rsidRPr="00AF7C98">
        <w:rPr>
          <w:rFonts w:ascii="Verdana" w:eastAsia="Times New Roman" w:hAnsi="Verdana" w:cs="Times New Roman"/>
          <w:iCs/>
          <w:sz w:val="20"/>
          <w:szCs w:val="20"/>
          <w:lang w:eastAsia="es-ES"/>
        </w:rPr>
        <w:t xml:space="preserve"> sino también de las estadísticas globales del país a causa del volumen de sus contribuciones. </w:t>
      </w: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p>
    <w:p w:rsidR="00AF7C98" w:rsidRPr="00AF7C98" w:rsidRDefault="00AF7C98" w:rsidP="00AF7C98">
      <w:pPr>
        <w:spacing w:after="0" w:line="360" w:lineRule="auto"/>
        <w:jc w:val="both"/>
        <w:rPr>
          <w:rFonts w:ascii="Verdana" w:eastAsia="Times New Roman" w:hAnsi="Verdana" w:cs="Times New Roman"/>
          <w:iCs/>
          <w:sz w:val="20"/>
          <w:szCs w:val="20"/>
          <w:lang w:eastAsia="es-ES"/>
        </w:rPr>
      </w:pPr>
      <w:r w:rsidRPr="00AF7C98">
        <w:rPr>
          <w:rFonts w:ascii="Verdana" w:eastAsia="Times New Roman" w:hAnsi="Verdana" w:cs="Times New Roman"/>
          <w:iCs/>
          <w:sz w:val="20"/>
          <w:szCs w:val="20"/>
          <w:lang w:eastAsia="es-ES"/>
        </w:rPr>
        <w:t xml:space="preserve">También deberán realizarse investigaciones cualitativas por expertos para evaluar la originalidad, </w:t>
      </w:r>
      <w:r w:rsidRPr="00AF7C98">
        <w:rPr>
          <w:rFonts w:ascii="Verdana" w:eastAsia="Times New Roman" w:hAnsi="Verdana" w:cs="Times New Roman"/>
          <w:iCs/>
          <w:sz w:val="20"/>
          <w:szCs w:val="20"/>
          <w:lang w:eastAsia="es-ES"/>
        </w:rPr>
        <w:lastRenderedPageBreak/>
        <w:t xml:space="preserve">calidad y utilidad de sus contenidos, su calidad de presentación, estructura, alcance temático (los índices de citación varían de un campo a otro), sus mercados potenciales, el procesamiento en diversas bases de datos, la </w:t>
      </w:r>
      <w:r w:rsidRPr="00AF7C98">
        <w:rPr>
          <w:rFonts w:ascii="Verdana" w:eastAsia="Times New Roman" w:hAnsi="Verdana" w:cs="Times New Roman"/>
          <w:iCs/>
          <w:sz w:val="20"/>
          <w:szCs w:val="20"/>
          <w:lang w:eastAsia="es-ES"/>
        </w:rPr>
        <w:lastRenderedPageBreak/>
        <w:t xml:space="preserve">conveniencia de editar en inglés, la colaboración internacional, sus mecanismos de promoción, su auditorio, entre otros, que integrados, puedan explicar sus niveles de citación actuales.   </w:t>
      </w:r>
    </w:p>
    <w:p w:rsidR="00C06E1D" w:rsidRDefault="00C06E1D" w:rsidP="00AF7C98">
      <w:pPr>
        <w:rPr>
          <w:rFonts w:ascii="Calibri" w:eastAsia="Calibri" w:hAnsi="Calibri" w:cs="Times New Roman"/>
        </w:rPr>
        <w:sectPr w:rsidR="00C06E1D" w:rsidSect="00C06E1D">
          <w:type w:val="continuous"/>
          <w:pgSz w:w="11906" w:h="16838"/>
          <w:pgMar w:top="1417" w:right="1701" w:bottom="1417" w:left="1701" w:header="708" w:footer="708" w:gutter="0"/>
          <w:cols w:num="2" w:space="708"/>
          <w:titlePg/>
          <w:docGrid w:linePitch="360"/>
        </w:sectPr>
      </w:pPr>
    </w:p>
    <w:p w:rsidR="00AF7C98" w:rsidRPr="00AF7C98" w:rsidRDefault="00AF7C98" w:rsidP="00AF7C98">
      <w:pPr>
        <w:rPr>
          <w:rFonts w:ascii="Calibri" w:eastAsia="Calibri" w:hAnsi="Calibri" w:cs="Times New Roman"/>
        </w:rPr>
      </w:pPr>
    </w:p>
    <w:p w:rsidR="00C06E1D" w:rsidRDefault="00C06E1D" w:rsidP="00AF7C98">
      <w:pPr>
        <w:rPr>
          <w:rFonts w:ascii="Verdana" w:eastAsia="Calibri" w:hAnsi="Verdana" w:cs="Times New Roman"/>
          <w:b/>
          <w:sz w:val="20"/>
          <w:szCs w:val="20"/>
        </w:rPr>
        <w:sectPr w:rsidR="00C06E1D" w:rsidSect="00B87517">
          <w:type w:val="continuous"/>
          <w:pgSz w:w="11906" w:h="16838"/>
          <w:pgMar w:top="1417" w:right="1701" w:bottom="1417" w:left="1701" w:header="708" w:footer="708" w:gutter="0"/>
          <w:cols w:space="708"/>
          <w:titlePg/>
          <w:docGrid w:linePitch="360"/>
        </w:sectPr>
      </w:pPr>
    </w:p>
    <w:p w:rsidR="00AF7C98" w:rsidRPr="00AF7C98" w:rsidRDefault="00AF7C98" w:rsidP="00AF7C98">
      <w:pPr>
        <w:rPr>
          <w:rFonts w:ascii="Verdana" w:eastAsia="Calibri" w:hAnsi="Verdana" w:cs="Times New Roman"/>
          <w:b/>
          <w:sz w:val="20"/>
          <w:szCs w:val="20"/>
        </w:rPr>
      </w:pPr>
      <w:r w:rsidRPr="00AF7C98">
        <w:rPr>
          <w:rFonts w:ascii="Verdana" w:eastAsia="Calibri" w:hAnsi="Verdana" w:cs="Times New Roman"/>
          <w:b/>
          <w:sz w:val="20"/>
          <w:szCs w:val="20"/>
        </w:rPr>
        <w:lastRenderedPageBreak/>
        <w:t>CONSIDERACIONES FINALES</w:t>
      </w:r>
    </w:p>
    <w:p w:rsidR="00AF7C98" w:rsidRPr="00AF7C98" w:rsidRDefault="00AF7C98" w:rsidP="00AF7C98">
      <w:pPr>
        <w:spacing w:after="0" w:line="360" w:lineRule="auto"/>
        <w:jc w:val="both"/>
        <w:rPr>
          <w:rFonts w:ascii="Times New Roman" w:eastAsia="Times New Roman" w:hAnsi="Times New Roman" w:cs="Times New Roman"/>
          <w:sz w:val="24"/>
          <w:szCs w:val="24"/>
          <w:lang w:eastAsia="es-ES"/>
        </w:rPr>
      </w:pPr>
      <w:r w:rsidRPr="00AF7C98">
        <w:rPr>
          <w:rFonts w:ascii="Verdana" w:eastAsia="Times New Roman" w:hAnsi="Verdana" w:cs="Times New Roman"/>
          <w:sz w:val="20"/>
          <w:szCs w:val="20"/>
          <w:lang w:eastAsia="es-ES"/>
        </w:rPr>
        <w:t xml:space="preserve">Los bajos índices de citación de las contribuciones publicadas en las revistas cubanas de salud y en particular de las pertenecientes a la categoría </w:t>
      </w:r>
      <w:r w:rsidRPr="00AF7C98">
        <w:rPr>
          <w:rFonts w:ascii="Verdana" w:eastAsia="Times New Roman" w:hAnsi="Verdana" w:cs="Times New Roman"/>
          <w:i/>
          <w:sz w:val="20"/>
          <w:szCs w:val="20"/>
          <w:lang w:eastAsia="es-ES"/>
        </w:rPr>
        <w:t>Medicina</w:t>
      </w:r>
      <w:r w:rsidRPr="00AF7C98">
        <w:rPr>
          <w:rFonts w:ascii="Verdana" w:eastAsia="Times New Roman" w:hAnsi="Verdana" w:cs="Times New Roman"/>
          <w:sz w:val="20"/>
          <w:szCs w:val="20"/>
          <w:lang w:eastAsia="es-ES"/>
        </w:rPr>
        <w:t xml:space="preserve">, según la clasificación temática de </w:t>
      </w:r>
      <w:r w:rsidRPr="00AF7C98">
        <w:rPr>
          <w:rFonts w:ascii="Verdana" w:eastAsia="Times New Roman" w:hAnsi="Verdana" w:cs="Times New Roman"/>
          <w:i/>
          <w:iCs/>
          <w:sz w:val="20"/>
          <w:szCs w:val="20"/>
          <w:lang w:eastAsia="es-ES"/>
        </w:rPr>
        <w:t>Scopus</w:t>
      </w:r>
      <w:r w:rsidRPr="00AF7C98">
        <w:rPr>
          <w:rFonts w:ascii="Verdana" w:eastAsia="Times New Roman" w:hAnsi="Verdana" w:cs="Times New Roman"/>
          <w:sz w:val="20"/>
          <w:szCs w:val="20"/>
          <w:lang w:eastAsia="es-ES"/>
        </w:rPr>
        <w:t xml:space="preserve">, constituye una razón de peso para promover más investigaciones sobre el tema, así como para tomar decisiones, y emprender acciones planificadas y consensuadas, con vistas a elevar sus niveles de consumo a escala internacional como vía para reducir los efectos negativos de sus pobres índices de citación no solo en el área de la salud sino también en el impacto internacional del total de la producción científica del país en forma global. </w:t>
      </w:r>
    </w:p>
    <w:p w:rsidR="00AF7C98" w:rsidRPr="00AF7C98" w:rsidRDefault="00AF7C98" w:rsidP="00AF7C98">
      <w:pPr>
        <w:rPr>
          <w:rFonts w:ascii="Verdana" w:eastAsia="Calibri" w:hAnsi="Verdana" w:cs="Times New Roman"/>
          <w:b/>
          <w:sz w:val="20"/>
          <w:szCs w:val="20"/>
        </w:rPr>
      </w:pPr>
    </w:p>
    <w:p w:rsidR="00AF7C98" w:rsidRPr="00AF7C98" w:rsidRDefault="00AF7C98" w:rsidP="00AF7C98">
      <w:pPr>
        <w:rPr>
          <w:rFonts w:ascii="Verdana" w:eastAsia="Calibri" w:hAnsi="Verdana" w:cs="Times New Roman"/>
          <w:b/>
          <w:sz w:val="20"/>
          <w:szCs w:val="20"/>
        </w:rPr>
      </w:pPr>
      <w:r w:rsidRPr="00AF7C98">
        <w:rPr>
          <w:rFonts w:ascii="Verdana" w:eastAsia="Calibri" w:hAnsi="Verdana" w:cs="Times New Roman"/>
          <w:b/>
          <w:sz w:val="20"/>
          <w:szCs w:val="20"/>
        </w:rPr>
        <w:t>REFERENCIAS BIBLIOGRÁFICAS</w:t>
      </w:r>
    </w:p>
    <w:p w:rsidR="00AF7C98" w:rsidRPr="00AF7C98" w:rsidRDefault="00AF7C98" w:rsidP="00AF7C98">
      <w:pPr>
        <w:numPr>
          <w:ilvl w:val="0"/>
          <w:numId w:val="7"/>
        </w:numPr>
        <w:spacing w:after="0" w:line="360" w:lineRule="auto"/>
        <w:rPr>
          <w:rFonts w:ascii="Verdana" w:eastAsia="Calibri" w:hAnsi="Verdana" w:cs="Times New Roman"/>
          <w:sz w:val="20"/>
          <w:szCs w:val="20"/>
        </w:rPr>
      </w:pPr>
      <w:r w:rsidRPr="00AF7C98">
        <w:rPr>
          <w:rFonts w:ascii="Verdana" w:eastAsia="Calibri" w:hAnsi="Verdana" w:cs="Times New Roman"/>
          <w:sz w:val="20"/>
          <w:szCs w:val="20"/>
        </w:rPr>
        <w:t>Cañedo Andalia R.</w:t>
      </w:r>
      <w:r w:rsidRPr="00AF7C98">
        <w:rPr>
          <w:rFonts w:ascii="Verdana" w:eastAsia="Calibri" w:hAnsi="Verdana" w:cs="Arial"/>
          <w:sz w:val="20"/>
          <w:szCs w:val="20"/>
        </w:rPr>
        <w:t xml:space="preserve"> </w:t>
      </w:r>
      <w:r w:rsidRPr="00AF7C98">
        <w:rPr>
          <w:rFonts w:ascii="Verdana" w:eastAsia="Times New Roman" w:hAnsi="Verdana" w:cs="Arial"/>
          <w:sz w:val="20"/>
          <w:szCs w:val="20"/>
          <w:lang w:eastAsia="es-ES"/>
        </w:rPr>
        <w:t>Aproximaciones al impacto de la investigación en salud procedente de Cuba desde la perspectiva de Scopus.</w:t>
      </w:r>
      <w:r w:rsidRPr="00AF7C98">
        <w:rPr>
          <w:rFonts w:ascii="Verdana" w:eastAsia="Calibri" w:hAnsi="Verdana" w:cs="Times New Roman"/>
          <w:sz w:val="20"/>
          <w:szCs w:val="20"/>
        </w:rPr>
        <w:t xml:space="preserve"> </w:t>
      </w:r>
      <w:r w:rsidRPr="00AF7C98">
        <w:rPr>
          <w:rFonts w:ascii="Verdana" w:eastAsia="Calibri" w:hAnsi="Verdana" w:cs="Times New Roman"/>
          <w:sz w:val="20"/>
          <w:szCs w:val="20"/>
        </w:rPr>
        <w:lastRenderedPageBreak/>
        <w:t xml:space="preserve">Holguín: Centro Virtual para el Aprendizaje y la Investigación en Salud; 2014. [citado 16 abr 2015]. Disponible en: </w:t>
      </w:r>
      <w:hyperlink r:id="rId14" w:history="1">
        <w:r w:rsidRPr="00AF7C98">
          <w:rPr>
            <w:rFonts w:ascii="Verdana" w:eastAsia="Calibri" w:hAnsi="Verdana" w:cs="Times New Roman"/>
            <w:color w:val="0000FF"/>
            <w:sz w:val="20"/>
            <w:szCs w:val="20"/>
            <w:u w:val="single"/>
          </w:rPr>
          <w:t>http://www.hlg.sld.cu/alfin/download/observatorio_de_ciencias_de_la_salud/Impacto%20de%20la%20literatura%20m%C3%A9dica.pdf</w:t>
        </w:r>
      </w:hyperlink>
      <w:r w:rsidRPr="00AF7C98">
        <w:rPr>
          <w:rFonts w:ascii="Verdana" w:eastAsia="Calibri" w:hAnsi="Verdana" w:cs="Times New Roman"/>
          <w:sz w:val="20"/>
          <w:szCs w:val="20"/>
        </w:rPr>
        <w:t xml:space="preserve"> </w:t>
      </w:r>
    </w:p>
    <w:p w:rsidR="00AF7C98" w:rsidRPr="00AF7C98" w:rsidRDefault="00AF7C98" w:rsidP="00AF7C98">
      <w:pPr>
        <w:numPr>
          <w:ilvl w:val="0"/>
          <w:numId w:val="7"/>
        </w:numPr>
        <w:spacing w:after="0" w:line="360" w:lineRule="auto"/>
        <w:rPr>
          <w:rFonts w:ascii="Verdana" w:eastAsia="Calibri" w:hAnsi="Verdana" w:cs="Times New Roman"/>
          <w:sz w:val="20"/>
          <w:szCs w:val="20"/>
        </w:rPr>
      </w:pPr>
      <w:r w:rsidRPr="00AF7C98">
        <w:rPr>
          <w:rFonts w:ascii="Verdana" w:eastAsia="Calibri" w:hAnsi="Verdana" w:cs="Times New Roman"/>
          <w:sz w:val="20"/>
          <w:szCs w:val="20"/>
        </w:rPr>
        <w:t xml:space="preserve">Cañedo Andalia R. Estadísticas actualizadas sobre el impacto internacional de la investigación en salud de Cuba. Holguín: Centro Virtual para el Aprendizaje y la Investigación en Salud; 2014. [citado 16 abr 2015]. Disponible en: </w:t>
      </w:r>
      <w:hyperlink r:id="rId15" w:history="1">
        <w:r w:rsidRPr="00AF7C98">
          <w:rPr>
            <w:rFonts w:ascii="Verdana" w:eastAsia="Calibri" w:hAnsi="Verdana" w:cs="Times New Roman"/>
            <w:color w:val="0000FF"/>
            <w:sz w:val="20"/>
            <w:szCs w:val="20"/>
            <w:u w:val="single"/>
          </w:rPr>
          <w:t>http://www.hlg.sld.cu/alfin/2014/01/07/impacto-de-la-investigacion-en-salud-procedente-de-cuba-desde-la-perspectiva-de-scopus-la-informacion-al-cierre-de-2012/</w:t>
        </w:r>
      </w:hyperlink>
    </w:p>
    <w:p w:rsidR="00AF7C98" w:rsidRPr="00AF7C98" w:rsidRDefault="00AF7C98" w:rsidP="00AF7C98">
      <w:pPr>
        <w:numPr>
          <w:ilvl w:val="0"/>
          <w:numId w:val="7"/>
        </w:numPr>
        <w:spacing w:after="0" w:line="360" w:lineRule="auto"/>
        <w:rPr>
          <w:rFonts w:ascii="Verdana" w:eastAsia="Calibri" w:hAnsi="Verdana" w:cs="Times New Roman"/>
          <w:sz w:val="20"/>
          <w:szCs w:val="20"/>
        </w:rPr>
      </w:pPr>
      <w:r w:rsidRPr="00AF7C98">
        <w:rPr>
          <w:rFonts w:ascii="Verdana" w:eastAsia="Calibri" w:hAnsi="Verdana" w:cs="Times New Roman"/>
          <w:sz w:val="20"/>
          <w:szCs w:val="20"/>
        </w:rPr>
        <w:t xml:space="preserve">Cañedo Andalia R. Impacto internacional de la investigación en salud de Cuba. Holguín: Centro Virtual </w:t>
      </w:r>
      <w:r w:rsidRPr="00AF7C98">
        <w:rPr>
          <w:rFonts w:ascii="Verdana" w:eastAsia="Calibri" w:hAnsi="Verdana" w:cs="Times New Roman"/>
          <w:sz w:val="20"/>
          <w:szCs w:val="20"/>
        </w:rPr>
        <w:lastRenderedPageBreak/>
        <w:t xml:space="preserve">para el Aprendizaje y la Investigación en Salud; 2014. [citado 16 abr 2015]. Disponible en: </w:t>
      </w:r>
      <w:hyperlink r:id="rId16" w:history="1">
        <w:r w:rsidRPr="00AF7C98">
          <w:rPr>
            <w:rFonts w:ascii="Verdana" w:eastAsia="Calibri" w:hAnsi="Verdana" w:cs="Times New Roman"/>
            <w:color w:val="0000FF"/>
            <w:sz w:val="20"/>
            <w:szCs w:val="20"/>
            <w:u w:val="single"/>
          </w:rPr>
          <w:t>http://www.hlg.sld.cu/alfin/2014/07/24/impacto-internacional-de-la-investigacion-en-salud-de-cuba/</w:t>
        </w:r>
      </w:hyperlink>
    </w:p>
    <w:p w:rsidR="00AF7C98" w:rsidRPr="00AF7C98" w:rsidRDefault="00AF7C98" w:rsidP="00AF7C98">
      <w:pPr>
        <w:numPr>
          <w:ilvl w:val="0"/>
          <w:numId w:val="7"/>
        </w:numPr>
        <w:spacing w:after="0" w:line="360" w:lineRule="auto"/>
        <w:ind w:left="714" w:hanging="357"/>
        <w:rPr>
          <w:rFonts w:ascii="Verdana" w:eastAsia="Calibri" w:hAnsi="Verdana" w:cs="Times New Roman"/>
          <w:sz w:val="20"/>
          <w:szCs w:val="20"/>
        </w:rPr>
      </w:pPr>
      <w:r w:rsidRPr="00AF7C98">
        <w:rPr>
          <w:rFonts w:ascii="Verdana" w:eastAsia="Calibri" w:hAnsi="Verdana" w:cs="Times New Roman"/>
          <w:sz w:val="20"/>
          <w:szCs w:val="20"/>
        </w:rPr>
        <w:t xml:space="preserve">Cañedo Andalia R, Labañino Mulet N, Cruz Font J, Nodarse Rodríguez M Guerrero Pupo JC. Diferencias de citación entre la producción científica en salud de Cuba publicada en revistas nacionales y extranjeras. Holguín: Centro Virtual para el Aprendizaje y la Investigación en Salud; 2014. [citado 16 abr 2015]. Disponible en: </w:t>
      </w:r>
      <w:hyperlink r:id="rId17" w:history="1">
        <w:r w:rsidRPr="00AF7C98">
          <w:rPr>
            <w:rFonts w:ascii="Verdana" w:eastAsia="Calibri" w:hAnsi="Verdana" w:cs="Times New Roman"/>
            <w:color w:val="0000FF"/>
            <w:sz w:val="20"/>
            <w:szCs w:val="20"/>
            <w:u w:val="single"/>
          </w:rPr>
          <w:t>http://www.hlg.sld.cu/alfin/2015/03/02/diferencias-de-citacion-entre-la-produccion-cientifica-en-salud-de-cuba-publicada-en-revistas-nacionales-y-extranjeras/</w:t>
        </w:r>
      </w:hyperlink>
    </w:p>
    <w:p w:rsidR="00AF7C98" w:rsidRPr="00AF7C98" w:rsidRDefault="00AF7C98" w:rsidP="00AF7C98">
      <w:pPr>
        <w:numPr>
          <w:ilvl w:val="0"/>
          <w:numId w:val="7"/>
        </w:numPr>
        <w:spacing w:after="0" w:line="360" w:lineRule="auto"/>
        <w:ind w:hanging="357"/>
        <w:rPr>
          <w:rFonts w:ascii="Verdana" w:eastAsia="Calibri" w:hAnsi="Verdana" w:cs="Times New Roman"/>
          <w:sz w:val="20"/>
          <w:szCs w:val="20"/>
        </w:rPr>
      </w:pPr>
      <w:r w:rsidRPr="00AF7C98">
        <w:rPr>
          <w:rFonts w:ascii="Verdana" w:eastAsia="Calibri" w:hAnsi="Verdana" w:cs="Times New Roman"/>
          <w:iCs/>
          <w:sz w:val="20"/>
          <w:szCs w:val="20"/>
        </w:rPr>
        <w:t>Cañedo Andalia R</w:t>
      </w:r>
      <w:r w:rsidRPr="00AF7C98">
        <w:rPr>
          <w:rFonts w:ascii="Verdana" w:eastAsia="Calibri" w:hAnsi="Verdana" w:cs="Times New Roman"/>
          <w:i/>
          <w:sz w:val="20"/>
          <w:szCs w:val="20"/>
        </w:rPr>
        <w:t xml:space="preserve">, </w:t>
      </w:r>
      <w:r w:rsidRPr="00AF7C98">
        <w:rPr>
          <w:rFonts w:ascii="Verdana" w:eastAsia="Calibri" w:hAnsi="Verdana" w:cs="Times New Roman"/>
          <w:iCs/>
          <w:sz w:val="20"/>
          <w:szCs w:val="20"/>
        </w:rPr>
        <w:t>Cruz Font</w:t>
      </w:r>
      <w:r w:rsidRPr="00AF7C98">
        <w:rPr>
          <w:rFonts w:ascii="Verdana" w:eastAsia="Calibri" w:hAnsi="Verdana" w:cs="Times New Roman"/>
          <w:i/>
          <w:sz w:val="20"/>
          <w:szCs w:val="20"/>
        </w:rPr>
        <w:t xml:space="preserve"> J, </w:t>
      </w:r>
      <w:r w:rsidRPr="00AF7C98">
        <w:rPr>
          <w:rFonts w:ascii="Verdana" w:eastAsia="Calibri" w:hAnsi="Verdana" w:cs="Times New Roman"/>
          <w:iCs/>
          <w:sz w:val="20"/>
          <w:szCs w:val="20"/>
        </w:rPr>
        <w:t xml:space="preserve">Nodarse Rodríguez M. </w:t>
      </w:r>
      <w:r w:rsidRPr="00AF7C98">
        <w:rPr>
          <w:rFonts w:ascii="Verdana" w:eastAsia="Times New Roman" w:hAnsi="Verdana" w:cs="Times New Roman"/>
          <w:bCs/>
          <w:sz w:val="20"/>
          <w:szCs w:val="20"/>
          <w:lang w:eastAsia="es-ES"/>
        </w:rPr>
        <w:t xml:space="preserve">Impacto </w:t>
      </w:r>
      <w:r w:rsidRPr="00AF7C98">
        <w:rPr>
          <w:rFonts w:ascii="Verdana" w:eastAsia="Times New Roman" w:hAnsi="Verdana" w:cs="Times New Roman"/>
          <w:bCs/>
          <w:sz w:val="20"/>
          <w:szCs w:val="20"/>
          <w:lang w:eastAsia="es-ES"/>
        </w:rPr>
        <w:lastRenderedPageBreak/>
        <w:t>internacional de la investigación en salud de Cuba según áreas del conocimiento, Scopus, 2009-2013.</w:t>
      </w:r>
      <w:r w:rsidRPr="00AF7C98">
        <w:rPr>
          <w:rFonts w:ascii="Verdana" w:eastAsia="Calibri" w:hAnsi="Verdana" w:cs="Times New Roman"/>
          <w:sz w:val="20"/>
          <w:szCs w:val="20"/>
        </w:rPr>
        <w:t xml:space="preserve"> Holguín: Centro Virtual para el Aprendizaje y la Investigación en Salud; 2014. [citado 16 abr 2015]. Disponible en: </w:t>
      </w:r>
      <w:hyperlink r:id="rId18" w:history="1">
        <w:r w:rsidRPr="00AF7C98">
          <w:rPr>
            <w:rFonts w:ascii="Verdana" w:eastAsia="Calibri" w:hAnsi="Verdana" w:cs="Times New Roman"/>
            <w:color w:val="0000FF"/>
            <w:sz w:val="20"/>
            <w:szCs w:val="20"/>
            <w:u w:val="single"/>
          </w:rPr>
          <w:t>http://www.hlg.sld.cu/alfin/2015/04/09/impacto-internacional-de-la-investigacion-en-salud-de-cuba-segun-areas-del-conocimiento-scopus-2009-2013/</w:t>
        </w:r>
      </w:hyperlink>
    </w:p>
    <w:p w:rsidR="00AF7C98" w:rsidRDefault="00AF7C98" w:rsidP="00AF7C98">
      <w:pPr>
        <w:numPr>
          <w:ilvl w:val="0"/>
          <w:numId w:val="7"/>
        </w:numPr>
        <w:spacing w:after="0" w:line="360" w:lineRule="auto"/>
        <w:ind w:hanging="357"/>
        <w:rPr>
          <w:rFonts w:ascii="Verdana" w:eastAsia="Calibri" w:hAnsi="Verdana" w:cs="Times New Roman"/>
          <w:sz w:val="20"/>
          <w:szCs w:val="20"/>
        </w:rPr>
      </w:pPr>
      <w:r w:rsidRPr="00AF7C98">
        <w:rPr>
          <w:rFonts w:ascii="Verdana" w:eastAsia="Times New Roman" w:hAnsi="Verdana" w:cs="Times New Roman"/>
          <w:sz w:val="20"/>
          <w:szCs w:val="20"/>
          <w:lang w:val="en-US" w:eastAsia="es-ES"/>
        </w:rPr>
        <w:t xml:space="preserve">SciMago Lab. SJR. SciMago Journal &amp; Country Rank. </w:t>
      </w:r>
      <w:r w:rsidRPr="00AF7C98">
        <w:rPr>
          <w:rFonts w:ascii="Verdana" w:eastAsia="Times New Roman" w:hAnsi="Verdana" w:cs="Times New Roman"/>
          <w:sz w:val="20"/>
          <w:szCs w:val="20"/>
          <w:lang w:eastAsia="es-ES"/>
        </w:rPr>
        <w:t xml:space="preserve">[citado 18 mar 2015]. Disponible en: </w:t>
      </w:r>
      <w:hyperlink r:id="rId19" w:tgtFrame="_blank" w:history="1">
        <w:r w:rsidRPr="00AF7C98">
          <w:rPr>
            <w:rFonts w:ascii="Verdana" w:eastAsia="Times New Roman" w:hAnsi="Verdana" w:cs="Times New Roman"/>
            <w:color w:val="0000FF"/>
            <w:sz w:val="20"/>
            <w:szCs w:val="20"/>
            <w:u w:val="single"/>
            <w:lang w:eastAsia="es-ES"/>
          </w:rPr>
          <w:t>http://www.scimagojr.com/index.php</w:t>
        </w:r>
      </w:hyperlink>
      <w:r w:rsidRPr="00AF7C98">
        <w:rPr>
          <w:rFonts w:ascii="Verdana" w:eastAsia="Calibri" w:hAnsi="Verdana" w:cs="Times New Roman"/>
          <w:sz w:val="20"/>
          <w:szCs w:val="20"/>
        </w:rPr>
        <w:t xml:space="preserve"> </w:t>
      </w:r>
    </w:p>
    <w:p w:rsidR="00700259" w:rsidRDefault="00700259" w:rsidP="002C08A8">
      <w:pPr>
        <w:spacing w:after="0" w:line="360" w:lineRule="auto"/>
        <w:ind w:left="720"/>
        <w:rPr>
          <w:rFonts w:ascii="Verdana" w:eastAsia="Calibri" w:hAnsi="Verdana" w:cs="Times New Roman"/>
          <w:sz w:val="20"/>
          <w:szCs w:val="20"/>
        </w:rPr>
      </w:pPr>
    </w:p>
    <w:p w:rsidR="002C08A8" w:rsidRPr="00700259" w:rsidRDefault="002C08A8" w:rsidP="002C08A8">
      <w:pPr>
        <w:spacing w:after="0" w:line="360" w:lineRule="auto"/>
        <w:ind w:left="720"/>
        <w:rPr>
          <w:rFonts w:ascii="Verdana" w:eastAsia="Calibri" w:hAnsi="Verdana" w:cs="Times New Roman"/>
          <w:b/>
          <w:sz w:val="20"/>
          <w:szCs w:val="20"/>
        </w:rPr>
      </w:pPr>
      <w:r w:rsidRPr="00700259">
        <w:rPr>
          <w:rFonts w:ascii="Verdana" w:eastAsia="Calibri" w:hAnsi="Verdana" w:cs="Times New Roman"/>
          <w:b/>
          <w:sz w:val="20"/>
          <w:szCs w:val="20"/>
        </w:rPr>
        <w:t>Notas</w:t>
      </w:r>
    </w:p>
    <w:p w:rsidR="00C06E1D" w:rsidRPr="002C08A8" w:rsidRDefault="002C08A8" w:rsidP="002C08A8">
      <w:pPr>
        <w:spacing w:after="0" w:line="360" w:lineRule="auto"/>
        <w:ind w:left="720"/>
        <w:rPr>
          <w:rFonts w:ascii="Verdana" w:eastAsia="Calibri" w:hAnsi="Verdana" w:cs="Times New Roman"/>
          <w:sz w:val="20"/>
          <w:szCs w:val="20"/>
          <w:vertAlign w:val="superscript"/>
        </w:rPr>
        <w:sectPr w:rsidR="00C06E1D" w:rsidRPr="002C08A8" w:rsidSect="00C06E1D">
          <w:type w:val="continuous"/>
          <w:pgSz w:w="11906" w:h="16838"/>
          <w:pgMar w:top="1417" w:right="1701" w:bottom="1417" w:left="1701" w:header="708" w:footer="708" w:gutter="0"/>
          <w:cols w:num="2" w:space="708"/>
          <w:titlePg/>
          <w:docGrid w:linePitch="360"/>
        </w:sectPr>
      </w:pPr>
      <w:r w:rsidRPr="002C08A8">
        <w:rPr>
          <w:rFonts w:ascii="Verdana" w:eastAsia="Calibri" w:hAnsi="Verdana" w:cs="Times New Roman"/>
          <w:sz w:val="20"/>
          <w:szCs w:val="20"/>
          <w:vertAlign w:val="superscript"/>
        </w:rPr>
        <w:t>a</w:t>
      </w:r>
      <w:r w:rsidR="00700259">
        <w:rPr>
          <w:rFonts w:ascii="Verdana" w:eastAsia="Calibri" w:hAnsi="Verdana" w:cs="Times New Roman"/>
          <w:sz w:val="20"/>
          <w:szCs w:val="20"/>
          <w:vertAlign w:val="superscript"/>
        </w:rPr>
        <w:t xml:space="preserve"> </w:t>
      </w:r>
      <w:r>
        <w:rPr>
          <w:rFonts w:ascii="Verdana" w:eastAsia="Calibri" w:hAnsi="Verdana" w:cs="Times New Roman"/>
          <w:sz w:val="20"/>
          <w:szCs w:val="20"/>
          <w:vertAlign w:val="superscript"/>
        </w:rPr>
        <w:t xml:space="preserve"> </w:t>
      </w:r>
      <w:r>
        <w:t xml:space="preserve">ACIMED (actualmente </w:t>
      </w:r>
      <w:r w:rsidRPr="002C08A8">
        <w:rPr>
          <w:i/>
        </w:rPr>
        <w:t>Revista Cubana de Información en Ciencias de la Salud</w:t>
      </w:r>
      <w:r>
        <w:rPr>
          <w:rFonts w:ascii="Verdana" w:eastAsia="Calibri" w:hAnsi="Verdana" w:cs="Times New Roman"/>
          <w:sz w:val="20"/>
          <w:szCs w:val="20"/>
        </w:rPr>
        <w:t xml:space="preserve">) </w:t>
      </w:r>
      <w:r w:rsidR="00F24974">
        <w:rPr>
          <w:rFonts w:ascii="Verdana" w:eastAsia="Calibri" w:hAnsi="Verdana" w:cs="Times New Roman"/>
          <w:sz w:val="20"/>
          <w:szCs w:val="20"/>
        </w:rPr>
        <w:t xml:space="preserve">publicó en el periodo estudiado 82 artículos y recibió solo 4 citas. </w:t>
      </w:r>
      <w:r w:rsidRPr="002C08A8">
        <w:rPr>
          <w:rFonts w:ascii="Verdana" w:eastAsia="Calibri" w:hAnsi="Verdana" w:cs="Times New Roman"/>
          <w:sz w:val="20"/>
          <w:szCs w:val="20"/>
          <w:vertAlign w:val="superscript"/>
        </w:rPr>
        <w:t xml:space="preserve"> </w:t>
      </w:r>
    </w:p>
    <w:p w:rsidR="001157D3" w:rsidRPr="00AF7C98" w:rsidRDefault="001157D3" w:rsidP="00AF7C98"/>
    <w:sectPr w:rsidR="001157D3" w:rsidRPr="00AF7C98"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50" w:rsidRDefault="00160C50" w:rsidP="00B87517">
      <w:pPr>
        <w:spacing w:after="0" w:line="240" w:lineRule="auto"/>
      </w:pPr>
      <w:r>
        <w:separator/>
      </w:r>
    </w:p>
  </w:endnote>
  <w:endnote w:type="continuationSeparator" w:id="0">
    <w:p w:rsidR="00160C50" w:rsidRDefault="00160C50"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Default="00160C50" w:rsidP="00160C50">
    <w:pPr>
      <w:pStyle w:val="Piedepgina"/>
      <w:jc w:val="center"/>
    </w:pPr>
    <w:r w:rsidRPr="00B406EA">
      <w:rPr>
        <w:b/>
        <w:color w:val="E36C0A"/>
      </w:rPr>
      <w:t>http://www.hlg.sld.cu/alfin/download/lecturas_avanzadas/ART%C3%8DCULO%20DE%20REFLEXI%C3%93N%20para%20Centro%20Virtual.docx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Pr="00067E7B" w:rsidRDefault="00AB65B5" w:rsidP="00D7371C">
    <w:pPr>
      <w:pStyle w:val="Piedepgina"/>
      <w:jc w:val="center"/>
      <w:rPr>
        <w:lang w:val="en-US"/>
      </w:rPr>
    </w:pPr>
    <w:r w:rsidRPr="00AB65B5">
      <w:rPr>
        <w:b/>
        <w:color w:val="E36C0A"/>
        <w:lang w:val="en-US"/>
      </w:rPr>
      <w:t>http://www.hlg.sld.cu/alfin/download/lecturas_avanzadas/Tecera%20actualizaci%C3%B3n%20para%20ALFIN.docx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50" w:rsidRDefault="00160C50" w:rsidP="00B87517">
      <w:pPr>
        <w:spacing w:after="0" w:line="240" w:lineRule="auto"/>
      </w:pPr>
      <w:r>
        <w:separator/>
      </w:r>
    </w:p>
  </w:footnote>
  <w:footnote w:type="continuationSeparator" w:id="0">
    <w:p w:rsidR="00160C50" w:rsidRDefault="00160C50" w:rsidP="00B8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Pr="00160C50" w:rsidRDefault="00160C50" w:rsidP="00160C50">
    <w:pPr>
      <w:pStyle w:val="Encabezado"/>
      <w:spacing w:line="360" w:lineRule="auto"/>
      <w:jc w:val="center"/>
      <w:rPr>
        <w:rFonts w:ascii="Verdana" w:hAnsi="Verdana"/>
        <w:bCs/>
        <w:color w:val="E36C0A"/>
        <w:sz w:val="20"/>
        <w:szCs w:val="20"/>
      </w:rPr>
    </w:pPr>
    <w:r w:rsidRPr="00160C50">
      <w:rPr>
        <w:rFonts w:ascii="Verdana" w:hAnsi="Verdana"/>
        <w:bCs/>
        <w:color w:val="E36C0A"/>
        <w:sz w:val="20"/>
        <w:szCs w:val="20"/>
      </w:rPr>
      <w:t>El impacto de la investigación en salud de Cuba publicada en revistas nacionales: ¿existen razones para una intervención urgente?</w:t>
    </w:r>
  </w:p>
  <w:p w:rsidR="00160C50" w:rsidRDefault="00160C50" w:rsidP="001157D3">
    <w:pPr>
      <w:spacing w:after="0" w:line="360" w:lineRule="auto"/>
      <w:jc w:val="center"/>
      <w:rPr>
        <w:rFonts w:ascii="Verdana" w:eastAsia="Times New Roman" w:hAnsi="Verdana"/>
        <w:i/>
        <w:color w:val="E36C0A"/>
        <w:sz w:val="20"/>
        <w:szCs w:val="20"/>
      </w:rPr>
    </w:pPr>
    <w:r w:rsidRPr="005834B4">
      <w:rPr>
        <w:rFonts w:ascii="Verdana" w:eastAsia="Times New Roman" w:hAnsi="Verdana"/>
        <w:color w:val="E36C0A"/>
        <w:sz w:val="20"/>
        <w:szCs w:val="20"/>
      </w:rPr>
      <w:t xml:space="preserve">Por </w:t>
    </w:r>
    <w:r w:rsidRPr="00160C50">
      <w:rPr>
        <w:rFonts w:ascii="Verdana" w:eastAsia="Times New Roman" w:hAnsi="Verdana"/>
        <w:i/>
        <w:color w:val="E36C0A"/>
        <w:sz w:val="20"/>
        <w:szCs w:val="20"/>
      </w:rPr>
      <w:t>Rubén Cañedo Andalia</w:t>
    </w:r>
    <w:r>
      <w:rPr>
        <w:rFonts w:ascii="Verdana" w:eastAsia="Times New Roman" w:hAnsi="Verdana"/>
        <w:color w:val="E36C0A"/>
        <w:sz w:val="20"/>
        <w:szCs w:val="20"/>
      </w:rPr>
      <w:t xml:space="preserve">, </w:t>
    </w:r>
    <w:r w:rsidRPr="00160C50">
      <w:rPr>
        <w:rFonts w:ascii="Verdana" w:eastAsia="Times New Roman" w:hAnsi="Verdana"/>
        <w:i/>
        <w:color w:val="E36C0A"/>
        <w:sz w:val="20"/>
        <w:szCs w:val="20"/>
      </w:rPr>
      <w:t>Jaime Cruz Font</w:t>
    </w:r>
    <w:r>
      <w:rPr>
        <w:rFonts w:ascii="Verdana" w:eastAsia="Times New Roman" w:hAnsi="Verdana"/>
        <w:color w:val="E36C0A"/>
        <w:sz w:val="20"/>
        <w:szCs w:val="20"/>
      </w:rPr>
      <w:t xml:space="preserve"> y </w:t>
    </w:r>
    <w:r w:rsidRPr="00160C50">
      <w:rPr>
        <w:rFonts w:ascii="Verdana" w:eastAsia="Times New Roman" w:hAnsi="Verdana"/>
        <w:i/>
        <w:color w:val="E36C0A"/>
        <w:sz w:val="20"/>
        <w:szCs w:val="20"/>
      </w:rPr>
      <w:t>Mario Nodarse Rodríguez</w:t>
    </w:r>
  </w:p>
  <w:p w:rsidR="00160C50" w:rsidRPr="00211DD8" w:rsidRDefault="00160C50" w:rsidP="001157D3">
    <w:pPr>
      <w:spacing w:after="0" w:line="360" w:lineRule="auto"/>
      <w:jc w:val="center"/>
      <w:rPr>
        <w:rFonts w:ascii="Verdana" w:eastAsia="Times New Roman" w:hAnsi="Verdana"/>
        <w:color w:val="E36C0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50" w:rsidRDefault="00160C50"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160C50" w:rsidRDefault="00160C50" w:rsidP="00B87517">
    <w:pPr>
      <w:pStyle w:val="Encabezado"/>
      <w:rPr>
        <w:rFonts w:ascii="Verdana" w:hAnsi="Verdana"/>
        <w:color w:val="E36C0A"/>
        <w:sz w:val="24"/>
        <w:szCs w:val="24"/>
      </w:rPr>
    </w:pPr>
  </w:p>
  <w:p w:rsidR="00160C50" w:rsidRDefault="00160C50" w:rsidP="00160C50">
    <w:pPr>
      <w:pStyle w:val="Encabezado"/>
      <w:spacing w:line="360" w:lineRule="auto"/>
      <w:jc w:val="center"/>
      <w:rPr>
        <w:rFonts w:ascii="Verdana" w:hAnsi="Verdana"/>
        <w:bCs/>
        <w:color w:val="E36C0A"/>
        <w:sz w:val="20"/>
        <w:szCs w:val="20"/>
      </w:rPr>
    </w:pPr>
    <w:r w:rsidRPr="00160C50">
      <w:rPr>
        <w:rFonts w:ascii="Verdana" w:hAnsi="Verdana"/>
        <w:bCs/>
        <w:color w:val="E36C0A"/>
        <w:sz w:val="20"/>
        <w:szCs w:val="20"/>
      </w:rPr>
      <w:t>El impacto de la investigación en salud de Cuba publicada en revistas nacionales: ¿existen razones para una intervención urgente?</w:t>
    </w:r>
  </w:p>
  <w:p w:rsidR="00160C50" w:rsidRPr="00160C50" w:rsidRDefault="00160C50" w:rsidP="00160C50">
    <w:pPr>
      <w:pStyle w:val="Encabezado"/>
      <w:spacing w:line="360" w:lineRule="auto"/>
      <w:jc w:val="center"/>
      <w:rPr>
        <w:rFonts w:ascii="Verdana" w:hAnsi="Verdana"/>
        <w:bCs/>
        <w:color w:val="E36C0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5D3"/>
    <w:multiLevelType w:val="hybridMultilevel"/>
    <w:tmpl w:val="5706F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0379E1"/>
    <w:rsid w:val="00067E7B"/>
    <w:rsid w:val="001157D3"/>
    <w:rsid w:val="00160C50"/>
    <w:rsid w:val="001C3FC4"/>
    <w:rsid w:val="00273A23"/>
    <w:rsid w:val="0029722D"/>
    <w:rsid w:val="002C08A8"/>
    <w:rsid w:val="0034759E"/>
    <w:rsid w:val="0042348F"/>
    <w:rsid w:val="004D6437"/>
    <w:rsid w:val="0058266D"/>
    <w:rsid w:val="006909DF"/>
    <w:rsid w:val="006C541F"/>
    <w:rsid w:val="006F1745"/>
    <w:rsid w:val="00700259"/>
    <w:rsid w:val="008A5476"/>
    <w:rsid w:val="00A56A5A"/>
    <w:rsid w:val="00AB65B5"/>
    <w:rsid w:val="00AF7C98"/>
    <w:rsid w:val="00B406EA"/>
    <w:rsid w:val="00B87517"/>
    <w:rsid w:val="00BC4A98"/>
    <w:rsid w:val="00C06E1D"/>
    <w:rsid w:val="00CF5B78"/>
    <w:rsid w:val="00D034CF"/>
    <w:rsid w:val="00D7371C"/>
    <w:rsid w:val="00E22C57"/>
    <w:rsid w:val="00F24974"/>
    <w:rsid w:val="00F937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hlg.sld.cu/alfin/2015/04/09/impacto-internacional-de-la-investigacion-en-salud-de-cuba-segun-areas-del-conocimiento-scopus-2009-20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lg.sld.cu/alfin/2015/03/02/diferencias-de-citacion-entre-la-produccion-cientifica-en-salud-de-cuba-publicada-en-revistas-nacionales-y-extranjeras/" TargetMode="External"/><Relationship Id="rId2" Type="http://schemas.openxmlformats.org/officeDocument/2006/relationships/numbering" Target="numbering.xml"/><Relationship Id="rId16" Type="http://schemas.openxmlformats.org/officeDocument/2006/relationships/hyperlink" Target="http://www.hlg.sld.cu/alfin/2014/07/24/impacto-internacional-de-la-investigacion-en-salud-de-cu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lg.sld.cu/alfin/2014/01/07/impacto-de-la-investigacion-en-salud-procedente-de-cuba-desde-la-perspectiva-de-scopus-la-informacion-al-cierre-de-2012/" TargetMode="External"/><Relationship Id="rId10" Type="http://schemas.openxmlformats.org/officeDocument/2006/relationships/footer" Target="footer1.xml"/><Relationship Id="rId19" Type="http://schemas.openxmlformats.org/officeDocument/2006/relationships/hyperlink" Target="http://www.scimagojr.com/index.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lg.sld.cu/alfin/download/observatorio_de_ciencias_de_la_salud/Impacto%20de%20la%20literatura%20m%C3%A9dica.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266808199260796E-2"/>
          <c:y val="9.2106223442623952E-2"/>
          <c:w val="0.90998083109414252"/>
          <c:h val="0.73786048769985357"/>
        </c:manualLayout>
      </c:layout>
      <c:lineChart>
        <c:grouping val="stacked"/>
        <c:varyColors val="0"/>
        <c:ser>
          <c:idx val="0"/>
          <c:order val="0"/>
          <c:tx>
            <c:strRef>
              <c:f>Hoja1!$B$3</c:f>
              <c:strCache>
                <c:ptCount val="1"/>
                <c:pt idx="0">
                  <c:v>Revistas nacionales</c:v>
                </c:pt>
              </c:strCache>
            </c:strRef>
          </c:tx>
          <c:dLbls>
            <c:dLbl>
              <c:idx val="0"/>
              <c:layout>
                <c:manualLayout>
                  <c:x val="-2.1199963797628743E-2"/>
                  <c:y val="-3.5184765715234059E-2"/>
                </c:manualLayout>
              </c:layout>
              <c:dLblPos val="r"/>
              <c:showLegendKey val="0"/>
              <c:showVal val="1"/>
              <c:showCatName val="0"/>
              <c:showSerName val="0"/>
              <c:showPercent val="0"/>
              <c:showBubbleSize val="0"/>
            </c:dLbl>
            <c:dLbl>
              <c:idx val="1"/>
              <c:layout>
                <c:manualLayout>
                  <c:x val="-2.1199963797628743E-2"/>
                  <c:y val="-3.5184765715234059E-2"/>
                </c:manualLayout>
              </c:layout>
              <c:dLblPos val="r"/>
              <c:showLegendKey val="0"/>
              <c:showVal val="1"/>
              <c:showCatName val="0"/>
              <c:showSerName val="0"/>
              <c:showPercent val="0"/>
              <c:showBubbleSize val="0"/>
            </c:dLbl>
            <c:dLbl>
              <c:idx val="2"/>
              <c:layout>
                <c:manualLayout>
                  <c:x val="-2.1199963797628743E-2"/>
                  <c:y val="-3.1624462590465342E-2"/>
                </c:manualLayout>
              </c:layout>
              <c:dLblPos val="r"/>
              <c:showLegendKey val="0"/>
              <c:showVal val="1"/>
              <c:showCatName val="0"/>
              <c:showSerName val="0"/>
              <c:showPercent val="0"/>
              <c:showBubbleSize val="0"/>
            </c:dLbl>
            <c:dLbl>
              <c:idx val="3"/>
              <c:layout>
                <c:manualLayout>
                  <c:x val="-2.1199963797628743E-2"/>
                  <c:y val="-2.8064159465696618E-2"/>
                </c:manualLayout>
              </c:layout>
              <c:dLblPos val="r"/>
              <c:showLegendKey val="0"/>
              <c:showVal val="1"/>
              <c:showCatName val="0"/>
              <c:showSerName val="0"/>
              <c:showPercent val="0"/>
              <c:showBubbleSize val="0"/>
            </c:dLbl>
            <c:dLbl>
              <c:idx val="4"/>
              <c:layout>
                <c:manualLayout>
                  <c:x val="-2.1200108607113799E-2"/>
                  <c:y val="-2.0943553216159178E-2"/>
                </c:manualLayout>
              </c:layout>
              <c:dLblPos val="r"/>
              <c:showLegendKey val="0"/>
              <c:showVal val="1"/>
              <c:showCatName val="0"/>
              <c:showSerName val="0"/>
              <c:showPercent val="0"/>
              <c:showBubbleSize val="0"/>
            </c:dLbl>
            <c:dLbl>
              <c:idx val="5"/>
              <c:layout>
                <c:manualLayout>
                  <c:x val="-2.1199914777492192E-2"/>
                  <c:y val="-2.7323211392834269E-2"/>
                </c:manualLayout>
              </c:layout>
              <c:dLblPos val="r"/>
              <c:showLegendKey val="0"/>
              <c:showVal val="1"/>
              <c:showCatName val="0"/>
              <c:showSerName val="0"/>
              <c:showPercent val="0"/>
              <c:showBubbleSize val="0"/>
            </c:dLbl>
            <c:dLbl>
              <c:idx val="6"/>
              <c:layout>
                <c:manualLayout>
                  <c:x val="-2.1199914777492192E-2"/>
                  <c:y val="-2.0202438809981287E-2"/>
                </c:manualLayout>
              </c:layout>
              <c:dLblPos val="r"/>
              <c:showLegendKey val="0"/>
              <c:showVal val="1"/>
              <c:showCatName val="0"/>
              <c:showSerName val="0"/>
              <c:showPercent val="0"/>
              <c:showBubbleSize val="0"/>
            </c:dLbl>
            <c:dLbl>
              <c:idx val="7"/>
              <c:layout>
                <c:manualLayout>
                  <c:x val="-1.8897093821821496E-2"/>
                  <c:y val="1.844554119730249E-2"/>
                </c:manualLayout>
              </c:layout>
              <c:dLblPos val="r"/>
              <c:showLegendKey val="0"/>
              <c:showVal val="1"/>
              <c:showCatName val="0"/>
              <c:showSerName val="0"/>
              <c:showPercent val="0"/>
              <c:showBubbleSize val="0"/>
            </c:dLbl>
            <c:dLbl>
              <c:idx val="8"/>
              <c:layout>
                <c:manualLayout>
                  <c:x val="-1.4291451910480101E-2"/>
                  <c:y val="1.3918547262931846E-2"/>
                </c:manualLayout>
              </c:layout>
              <c:dLblPos val="r"/>
              <c:showLegendKey val="0"/>
              <c:showVal val="1"/>
              <c:showCatName val="0"/>
              <c:showSerName val="0"/>
              <c:showPercent val="0"/>
              <c:showBubbleSize val="0"/>
            </c:dLbl>
            <c:dLbl>
              <c:idx val="9"/>
              <c:layout>
                <c:manualLayout>
                  <c:x val="-1.1988630954809405E-2"/>
                  <c:y val="1.3547828052593905E-2"/>
                </c:manualLayout>
              </c:layout>
              <c:dLblPos val="r"/>
              <c:showLegendKey val="0"/>
              <c:showVal val="1"/>
              <c:showCatName val="0"/>
              <c:showSerName val="0"/>
              <c:showPercent val="0"/>
              <c:showBubbleSize val="0"/>
            </c:dLbl>
            <c:dLbl>
              <c:idx val="10"/>
              <c:layout>
                <c:manualLayout>
                  <c:x val="-1.4291451910480101E-2"/>
                  <c:y val="1.3918547262931846E-2"/>
                </c:manualLayout>
              </c:layout>
              <c:dLblPos val="r"/>
              <c:showLegendKey val="0"/>
              <c:showVal val="1"/>
              <c:showCatName val="0"/>
              <c:showSerName val="0"/>
              <c:showPercent val="0"/>
              <c:showBubbleSize val="0"/>
            </c:dLbl>
            <c:dLbl>
              <c:idx val="11"/>
              <c:layout>
                <c:manualLayout>
                  <c:x val="-1.4291451910480101E-2"/>
                  <c:y val="1.3547828052593905E-2"/>
                </c:manualLayout>
              </c:layout>
              <c:dLblPos val="r"/>
              <c:showLegendKey val="0"/>
              <c:showVal val="1"/>
              <c:showCatName val="0"/>
              <c:showSerName val="0"/>
              <c:showPercent val="0"/>
              <c:showBubbleSize val="0"/>
            </c:dLbl>
            <c:txPr>
              <a:bodyPr/>
              <a:lstStyle/>
              <a:p>
                <a:pPr>
                  <a:defRPr sz="800" baseline="0"/>
                </a:pPr>
                <a:endParaRPr lang="es-ES"/>
              </a:p>
            </c:txPr>
            <c:dLblPos val="t"/>
            <c:showLegendKey val="0"/>
            <c:showVal val="1"/>
            <c:showCatName val="0"/>
            <c:showSerName val="0"/>
            <c:showPercent val="0"/>
            <c:showBubbleSize val="0"/>
            <c:showLeaderLines val="0"/>
          </c:dLbls>
          <c:cat>
            <c:strRef>
              <c:f>Hoja1!$A$4:$A$16</c:f>
              <c:strCache>
                <c:ptCount val="13"/>
                <c:pt idx="0">
                  <c:v>≤20</c:v>
                </c:pt>
                <c:pt idx="1">
                  <c:v>21-50</c:v>
                </c:pt>
                <c:pt idx="2">
                  <c:v>51-100</c:v>
                </c:pt>
                <c:pt idx="3">
                  <c:v>101-200</c:v>
                </c:pt>
                <c:pt idx="4">
                  <c:v>201-400</c:v>
                </c:pt>
                <c:pt idx="5">
                  <c:v>401-600</c:v>
                </c:pt>
                <c:pt idx="6">
                  <c:v>601-800</c:v>
                </c:pt>
                <c:pt idx="7">
                  <c:v>801-1000</c:v>
                </c:pt>
                <c:pt idx="8">
                  <c:v>1001-1200</c:v>
                </c:pt>
                <c:pt idx="9">
                  <c:v>1201-1400</c:v>
                </c:pt>
                <c:pt idx="10">
                  <c:v>1401-1600</c:v>
                </c:pt>
                <c:pt idx="11">
                  <c:v>1601-1800</c:v>
                </c:pt>
                <c:pt idx="12">
                  <c:v>1801-2000</c:v>
                </c:pt>
              </c:strCache>
            </c:strRef>
          </c:cat>
          <c:val>
            <c:numRef>
              <c:f>Hoja1!$B$4:$B$16</c:f>
              <c:numCache>
                <c:formatCode>General</c:formatCode>
                <c:ptCount val="13"/>
                <c:pt idx="0">
                  <c:v>3</c:v>
                </c:pt>
                <c:pt idx="1">
                  <c:v>2</c:v>
                </c:pt>
                <c:pt idx="2">
                  <c:v>2</c:v>
                </c:pt>
                <c:pt idx="3">
                  <c:v>1</c:v>
                </c:pt>
                <c:pt idx="4">
                  <c:v>1</c:v>
                </c:pt>
                <c:pt idx="5">
                  <c:v>0</c:v>
                </c:pt>
                <c:pt idx="6">
                  <c:v>0</c:v>
                </c:pt>
                <c:pt idx="7">
                  <c:v>0</c:v>
                </c:pt>
                <c:pt idx="8">
                  <c:v>0</c:v>
                </c:pt>
                <c:pt idx="9">
                  <c:v>0</c:v>
                </c:pt>
                <c:pt idx="10">
                  <c:v>0</c:v>
                </c:pt>
                <c:pt idx="11">
                  <c:v>0</c:v>
                </c:pt>
                <c:pt idx="12">
                  <c:v>0</c:v>
                </c:pt>
              </c:numCache>
            </c:numRef>
          </c:val>
          <c:smooth val="0"/>
        </c:ser>
        <c:ser>
          <c:idx val="1"/>
          <c:order val="1"/>
          <c:tx>
            <c:strRef>
              <c:f>Hoja1!$C$3</c:f>
              <c:strCache>
                <c:ptCount val="1"/>
                <c:pt idx="0">
                  <c:v>Revistas extranjeras</c:v>
                </c:pt>
              </c:strCache>
            </c:strRef>
          </c:tx>
          <c:dLbls>
            <c:dLbl>
              <c:idx val="0"/>
              <c:layout>
                <c:manualLayout>
                  <c:x val="-6.5380034392252696E-3"/>
                  <c:y val="-1.0262643841853018E-2"/>
                </c:manualLayout>
              </c:layout>
              <c:dLblPos val="r"/>
              <c:showLegendKey val="0"/>
              <c:showVal val="1"/>
              <c:showCatName val="0"/>
              <c:showSerName val="0"/>
              <c:showPercent val="0"/>
              <c:showBubbleSize val="0"/>
            </c:dLbl>
            <c:dLbl>
              <c:idx val="1"/>
              <c:layout>
                <c:manualLayout>
                  <c:x val="-8.3770838989954011E-3"/>
                  <c:y val="-3.5184765715234059E-2"/>
                </c:manualLayout>
              </c:layout>
              <c:dLblPos val="r"/>
              <c:showLegendKey val="0"/>
              <c:showVal val="1"/>
              <c:showCatName val="0"/>
              <c:showSerName val="0"/>
              <c:showPercent val="0"/>
              <c:showBubbleSize val="0"/>
            </c:dLbl>
            <c:dLbl>
              <c:idx val="2"/>
              <c:layout>
                <c:manualLayout>
                  <c:x val="-1.9303683591275229E-2"/>
                  <c:y val="-2.32827004030151E-2"/>
                </c:manualLayout>
              </c:layout>
              <c:dLblPos val="r"/>
              <c:showLegendKey val="0"/>
              <c:showVal val="1"/>
              <c:showCatName val="0"/>
              <c:showSerName val="0"/>
              <c:showPercent val="0"/>
              <c:showBubbleSize val="0"/>
            </c:dLbl>
            <c:dLbl>
              <c:idx val="7"/>
              <c:layout>
                <c:manualLayout>
                  <c:x val="-2.7913476332699791E-2"/>
                  <c:y val="-3.8593405533664207E-2"/>
                </c:manualLayout>
              </c:layout>
              <c:dLblPos val="r"/>
              <c:showLegendKey val="0"/>
              <c:showVal val="1"/>
              <c:showCatName val="0"/>
              <c:showSerName val="0"/>
              <c:showPercent val="0"/>
              <c:showBubbleSize val="0"/>
            </c:dLbl>
            <c:dLbl>
              <c:idx val="8"/>
              <c:layout>
                <c:manualLayout>
                  <c:x val="-2.7913476332699791E-2"/>
                  <c:y val="-4.3222920951178433E-2"/>
                </c:manualLayout>
              </c:layout>
              <c:dLblPos val="r"/>
              <c:showLegendKey val="0"/>
              <c:showVal val="1"/>
              <c:showCatName val="0"/>
              <c:showSerName val="0"/>
              <c:showPercent val="0"/>
              <c:showBubbleSize val="0"/>
            </c:dLbl>
            <c:dLbl>
              <c:idx val="9"/>
              <c:layout>
                <c:manualLayout>
                  <c:x val="-2.7913621142184812E-2"/>
                  <c:y val="-4.0732110457983937E-2"/>
                </c:manualLayout>
              </c:layout>
              <c:dLblPos val="r"/>
              <c:showLegendKey val="0"/>
              <c:showVal val="1"/>
              <c:showCatName val="0"/>
              <c:showSerName val="0"/>
              <c:showPercent val="0"/>
              <c:showBubbleSize val="0"/>
            </c:dLbl>
            <c:dLbl>
              <c:idx val="10"/>
              <c:layout>
                <c:manualLayout>
                  <c:x val="-2.9752556792469905E-2"/>
                  <c:y val="-3.9310231918706223E-2"/>
                </c:manualLayout>
              </c:layout>
              <c:dLblPos val="r"/>
              <c:showLegendKey val="0"/>
              <c:showVal val="1"/>
              <c:showCatName val="0"/>
              <c:showSerName val="0"/>
              <c:showPercent val="0"/>
              <c:showBubbleSize val="0"/>
            </c:dLbl>
            <c:dLbl>
              <c:idx val="11"/>
              <c:layout>
                <c:manualLayout>
                  <c:x val="-2.7913476332699791E-2"/>
                  <c:y val="-3.9662617826409709E-2"/>
                </c:manualLayout>
              </c:layout>
              <c:dLblPos val="r"/>
              <c:showLegendKey val="0"/>
              <c:showVal val="1"/>
              <c:showCatName val="0"/>
              <c:showSerName val="0"/>
              <c:showPercent val="0"/>
              <c:showBubbleSize val="0"/>
            </c:dLbl>
            <c:dLbl>
              <c:idx val="12"/>
              <c:layout>
                <c:manualLayout>
                  <c:x val="-1.8897093821821496E-2"/>
                  <c:y val="1.7108339926408721E-2"/>
                </c:manualLayout>
              </c:layout>
              <c:dLblPos val="r"/>
              <c:showLegendKey val="0"/>
              <c:showVal val="1"/>
              <c:showCatName val="0"/>
              <c:showSerName val="0"/>
              <c:showPercent val="0"/>
              <c:showBubbleSize val="0"/>
            </c:dLbl>
            <c:txPr>
              <a:bodyPr/>
              <a:lstStyle/>
              <a:p>
                <a:pPr>
                  <a:defRPr sz="800" baseline="0"/>
                </a:pPr>
                <a:endParaRPr lang="es-ES"/>
              </a:p>
            </c:txPr>
            <c:dLblPos val="t"/>
            <c:showLegendKey val="0"/>
            <c:showVal val="1"/>
            <c:showCatName val="0"/>
            <c:showSerName val="0"/>
            <c:showPercent val="0"/>
            <c:showBubbleSize val="0"/>
            <c:showLeaderLines val="0"/>
          </c:dLbls>
          <c:cat>
            <c:strRef>
              <c:f>Hoja1!$A$4:$A$16</c:f>
              <c:strCache>
                <c:ptCount val="13"/>
                <c:pt idx="0">
                  <c:v>≤20</c:v>
                </c:pt>
                <c:pt idx="1">
                  <c:v>21-50</c:v>
                </c:pt>
                <c:pt idx="2">
                  <c:v>51-100</c:v>
                </c:pt>
                <c:pt idx="3">
                  <c:v>101-200</c:v>
                </c:pt>
                <c:pt idx="4">
                  <c:v>201-400</c:v>
                </c:pt>
                <c:pt idx="5">
                  <c:v>401-600</c:v>
                </c:pt>
                <c:pt idx="6">
                  <c:v>601-800</c:v>
                </c:pt>
                <c:pt idx="7">
                  <c:v>801-1000</c:v>
                </c:pt>
                <c:pt idx="8">
                  <c:v>1001-1200</c:v>
                </c:pt>
                <c:pt idx="9">
                  <c:v>1201-1400</c:v>
                </c:pt>
                <c:pt idx="10">
                  <c:v>1401-1600</c:v>
                </c:pt>
                <c:pt idx="11">
                  <c:v>1601-1800</c:v>
                </c:pt>
                <c:pt idx="12">
                  <c:v>1801-2000</c:v>
                </c:pt>
              </c:strCache>
            </c:strRef>
          </c:cat>
          <c:val>
            <c:numRef>
              <c:f>Hoja1!$C$4:$C$16</c:f>
              <c:numCache>
                <c:formatCode>General</c:formatCode>
                <c:ptCount val="13"/>
                <c:pt idx="0">
                  <c:v>74</c:v>
                </c:pt>
                <c:pt idx="1">
                  <c:v>45</c:v>
                </c:pt>
                <c:pt idx="2">
                  <c:v>28</c:v>
                </c:pt>
                <c:pt idx="3">
                  <c:v>17</c:v>
                </c:pt>
                <c:pt idx="4">
                  <c:v>10</c:v>
                </c:pt>
                <c:pt idx="5">
                  <c:v>7</c:v>
                </c:pt>
                <c:pt idx="6">
                  <c:v>5</c:v>
                </c:pt>
                <c:pt idx="7">
                  <c:v>3</c:v>
                </c:pt>
                <c:pt idx="8">
                  <c:v>2</c:v>
                </c:pt>
                <c:pt idx="9">
                  <c:v>2</c:v>
                </c:pt>
                <c:pt idx="10">
                  <c:v>1</c:v>
                </c:pt>
                <c:pt idx="11">
                  <c:v>1</c:v>
                </c:pt>
                <c:pt idx="12">
                  <c:v>0</c:v>
                </c:pt>
              </c:numCache>
            </c:numRef>
          </c:val>
          <c:smooth val="0"/>
        </c:ser>
        <c:dLbls>
          <c:showLegendKey val="0"/>
          <c:showVal val="0"/>
          <c:showCatName val="0"/>
          <c:showSerName val="0"/>
          <c:showPercent val="0"/>
          <c:showBubbleSize val="0"/>
        </c:dLbls>
        <c:marker val="1"/>
        <c:smooth val="0"/>
        <c:axId val="127928960"/>
        <c:axId val="129250048"/>
      </c:lineChart>
      <c:catAx>
        <c:axId val="127928960"/>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s-ES"/>
                  <a:t>Número de contribuciones</a:t>
                </a:r>
              </a:p>
            </c:rich>
          </c:tx>
          <c:layout>
            <c:manualLayout>
              <c:xMode val="edge"/>
              <c:yMode val="edge"/>
              <c:x val="0.32575723371366144"/>
              <c:y val="0.9514990769694458"/>
            </c:manualLayout>
          </c:layout>
          <c:overlay val="0"/>
        </c:title>
        <c:numFmt formatCode="General" sourceLinked="1"/>
        <c:majorTickMark val="out"/>
        <c:minorTickMark val="none"/>
        <c:tickLblPos val="nextTo"/>
        <c:crossAx val="129250048"/>
        <c:crosses val="autoZero"/>
        <c:auto val="1"/>
        <c:lblAlgn val="ctr"/>
        <c:lblOffset val="100"/>
        <c:noMultiLvlLbl val="0"/>
      </c:catAx>
      <c:valAx>
        <c:axId val="12925004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s-ES"/>
                  <a:t>Número mínimo de citas</a:t>
                </a:r>
              </a:p>
            </c:rich>
          </c:tx>
          <c:overlay val="0"/>
        </c:title>
        <c:numFmt formatCode="General" sourceLinked="1"/>
        <c:majorTickMark val="out"/>
        <c:minorTickMark val="none"/>
        <c:tickLblPos val="nextTo"/>
        <c:txPr>
          <a:bodyPr/>
          <a:lstStyle/>
          <a:p>
            <a:pPr>
              <a:defRPr sz="900" baseline="0"/>
            </a:pPr>
            <a:endParaRPr lang="es-ES"/>
          </a:p>
        </c:txPr>
        <c:crossAx val="127928960"/>
        <c:crosses val="autoZero"/>
        <c:crossBetween val="between"/>
      </c:valAx>
    </c:plotArea>
    <c:legend>
      <c:legendPos val="t"/>
      <c:layout>
        <c:manualLayout>
          <c:xMode val="edge"/>
          <c:yMode val="edge"/>
          <c:x val="0.19617985575637245"/>
          <c:y val="9.9255296437227632E-3"/>
          <c:w val="0.55753199243876905"/>
          <c:h val="5.5682477489356889E-2"/>
        </c:manualLayout>
      </c:layout>
      <c:overlay val="1"/>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D4BE-374D-4473-94B5-234A19B7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15809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Ruben</cp:lastModifiedBy>
  <cp:revision>3</cp:revision>
  <dcterms:created xsi:type="dcterms:W3CDTF">2015-04-20T18:13:00Z</dcterms:created>
  <dcterms:modified xsi:type="dcterms:W3CDTF">2015-04-21T17:50:00Z</dcterms:modified>
</cp:coreProperties>
</file>